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6C1C5" w14:textId="77777777" w:rsidR="00B53C16" w:rsidRPr="00F13BDE" w:rsidRDefault="00B53C16" w:rsidP="003906D7">
      <w:pPr>
        <w:pStyle w:val="a3"/>
        <w:spacing w:line="276" w:lineRule="auto"/>
        <w:rPr>
          <w:b w:val="0"/>
          <w:sz w:val="24"/>
          <w:szCs w:val="24"/>
        </w:rPr>
      </w:pPr>
      <w:r w:rsidRPr="00F13BDE">
        <w:rPr>
          <w:sz w:val="24"/>
          <w:szCs w:val="24"/>
        </w:rPr>
        <w:t>С   П   Р   А   В   К   А</w:t>
      </w:r>
    </w:p>
    <w:p w14:paraId="43948519" w14:textId="6C3E8196" w:rsidR="00B53C16" w:rsidRPr="00F13BDE" w:rsidRDefault="00B53C16" w:rsidP="003906D7">
      <w:pPr>
        <w:pStyle w:val="2"/>
        <w:tabs>
          <w:tab w:val="left" w:pos="1134"/>
        </w:tabs>
        <w:spacing w:after="0" w:line="276" w:lineRule="auto"/>
        <w:ind w:left="0" w:right="-128"/>
        <w:jc w:val="center"/>
        <w:rPr>
          <w:lang w:val="bg-BG"/>
        </w:rPr>
      </w:pPr>
      <w:r w:rsidRPr="00F13BDE">
        <w:rPr>
          <w:lang w:val="bg-BG"/>
        </w:rPr>
        <w:t xml:space="preserve">за отразяване на постъпилите предложения, становища и коментари на членовете на </w:t>
      </w:r>
      <w:r w:rsidR="005D1B61">
        <w:rPr>
          <w:lang w:val="bg-BG"/>
        </w:rPr>
        <w:t xml:space="preserve">Регионалния съвет за развитие на </w:t>
      </w:r>
      <w:r w:rsidR="00A819E0">
        <w:rPr>
          <w:lang w:val="bg-BG"/>
        </w:rPr>
        <w:t>Южен централен регион о</w:t>
      </w:r>
      <w:r w:rsidR="005D1B61">
        <w:rPr>
          <w:lang w:val="bg-BG"/>
        </w:rPr>
        <w:t xml:space="preserve">т ниво 2 по проект на Интегрирана териториална стратегия за развитие на </w:t>
      </w:r>
      <w:r w:rsidR="00C1421E">
        <w:rPr>
          <w:lang w:val="bg-BG"/>
        </w:rPr>
        <w:t>Южен централен регион</w:t>
      </w:r>
      <w:r w:rsidR="005D1B61" w:rsidRPr="005D1B61">
        <w:rPr>
          <w:lang w:val="bg-BG"/>
        </w:rPr>
        <w:t xml:space="preserve"> от ниво</w:t>
      </w:r>
      <w:r w:rsidR="005D1B61">
        <w:rPr>
          <w:lang w:val="bg-BG"/>
        </w:rPr>
        <w:t xml:space="preserve"> 2</w:t>
      </w:r>
    </w:p>
    <w:p w14:paraId="33C2E474" w14:textId="77777777" w:rsidR="00F71FED" w:rsidRPr="00F13BDE" w:rsidRDefault="00F71FED">
      <w:pPr>
        <w:rPr>
          <w:rFonts w:ascii="Times New Roman" w:hAnsi="Times New Roman" w:cs="Times New Roman"/>
          <w:sz w:val="24"/>
          <w:szCs w:val="24"/>
        </w:rPr>
      </w:pPr>
    </w:p>
    <w:tbl>
      <w:tblPr>
        <w:tblStyle w:val="a5"/>
        <w:tblW w:w="14389" w:type="dxa"/>
        <w:tblLayout w:type="fixed"/>
        <w:tblLook w:val="04A0" w:firstRow="1" w:lastRow="0" w:firstColumn="1" w:lastColumn="0" w:noHBand="0" w:noVBand="1"/>
      </w:tblPr>
      <w:tblGrid>
        <w:gridCol w:w="421"/>
        <w:gridCol w:w="1984"/>
        <w:gridCol w:w="6030"/>
        <w:gridCol w:w="1908"/>
        <w:gridCol w:w="4046"/>
      </w:tblGrid>
      <w:tr w:rsidR="003906D7" w:rsidRPr="00F13BDE" w14:paraId="31D6C052" w14:textId="77777777" w:rsidTr="003906D7">
        <w:trPr>
          <w:trHeight w:val="730"/>
        </w:trPr>
        <w:tc>
          <w:tcPr>
            <w:tcW w:w="421" w:type="dxa"/>
            <w:shd w:val="clear" w:color="auto" w:fill="BDD6EE" w:themeFill="accent1" w:themeFillTint="66"/>
            <w:vAlign w:val="center"/>
          </w:tcPr>
          <w:p w14:paraId="56C2FDD9" w14:textId="5B148D1C" w:rsidR="003906D7" w:rsidRPr="00F13BDE" w:rsidRDefault="003906D7" w:rsidP="00B53C16">
            <w:pPr>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shd w:val="clear" w:color="auto" w:fill="BDD6EE" w:themeFill="accent1" w:themeFillTint="66"/>
            <w:vAlign w:val="center"/>
          </w:tcPr>
          <w:p w14:paraId="11914128" w14:textId="015AEEF7" w:rsidR="003906D7" w:rsidRPr="00F13BDE" w:rsidRDefault="003906D7" w:rsidP="00B53C16">
            <w:pPr>
              <w:jc w:val="center"/>
              <w:rPr>
                <w:rFonts w:ascii="Times New Roman" w:hAnsi="Times New Roman" w:cs="Times New Roman"/>
                <w:sz w:val="24"/>
                <w:szCs w:val="24"/>
              </w:rPr>
            </w:pPr>
            <w:r>
              <w:rPr>
                <w:rFonts w:ascii="Times New Roman" w:hAnsi="Times New Roman" w:cs="Times New Roman"/>
                <w:sz w:val="24"/>
                <w:szCs w:val="24"/>
              </w:rPr>
              <w:t>Администрация</w:t>
            </w:r>
          </w:p>
        </w:tc>
        <w:tc>
          <w:tcPr>
            <w:tcW w:w="6030" w:type="dxa"/>
            <w:shd w:val="clear" w:color="auto" w:fill="BDD6EE" w:themeFill="accent1" w:themeFillTint="66"/>
            <w:vAlign w:val="center"/>
          </w:tcPr>
          <w:p w14:paraId="0C7D4E69" w14:textId="3BC32BFE" w:rsidR="003906D7" w:rsidRPr="00F13BDE" w:rsidRDefault="003906D7" w:rsidP="00B53C16">
            <w:pPr>
              <w:jc w:val="center"/>
              <w:rPr>
                <w:rFonts w:ascii="Times New Roman" w:hAnsi="Times New Roman" w:cs="Times New Roman"/>
                <w:sz w:val="24"/>
                <w:szCs w:val="24"/>
              </w:rPr>
            </w:pPr>
            <w:r w:rsidRPr="003906D7">
              <w:rPr>
                <w:rFonts w:ascii="Times New Roman" w:hAnsi="Times New Roman" w:cs="Times New Roman"/>
                <w:sz w:val="24"/>
                <w:szCs w:val="24"/>
              </w:rPr>
              <w:t>Предложения, становища, коментари</w:t>
            </w:r>
          </w:p>
        </w:tc>
        <w:tc>
          <w:tcPr>
            <w:tcW w:w="1908" w:type="dxa"/>
            <w:shd w:val="clear" w:color="auto" w:fill="BDD6EE" w:themeFill="accent1" w:themeFillTint="66"/>
          </w:tcPr>
          <w:p w14:paraId="66C3F3BF" w14:textId="0830BBB2" w:rsidR="003906D7" w:rsidRDefault="003906D7" w:rsidP="00B53C16">
            <w:pPr>
              <w:jc w:val="center"/>
              <w:rPr>
                <w:rFonts w:ascii="Times New Roman" w:hAnsi="Times New Roman" w:cs="Times New Roman"/>
                <w:sz w:val="24"/>
                <w:szCs w:val="24"/>
              </w:rPr>
            </w:pPr>
            <w:r>
              <w:rPr>
                <w:rFonts w:ascii="Times New Roman" w:hAnsi="Times New Roman" w:cs="Times New Roman"/>
                <w:sz w:val="24"/>
                <w:szCs w:val="24"/>
              </w:rPr>
              <w:t>Приема се/Не се приема</w:t>
            </w:r>
          </w:p>
        </w:tc>
        <w:tc>
          <w:tcPr>
            <w:tcW w:w="4046" w:type="dxa"/>
            <w:shd w:val="clear" w:color="auto" w:fill="BDD6EE" w:themeFill="accent1" w:themeFillTint="66"/>
            <w:vAlign w:val="center"/>
          </w:tcPr>
          <w:p w14:paraId="3E35D26F" w14:textId="09C6E981" w:rsidR="003906D7" w:rsidRPr="00F13BDE" w:rsidRDefault="00FE3E3A" w:rsidP="00B53C16">
            <w:pPr>
              <w:jc w:val="center"/>
              <w:rPr>
                <w:rFonts w:ascii="Times New Roman" w:hAnsi="Times New Roman" w:cs="Times New Roman"/>
                <w:sz w:val="24"/>
                <w:szCs w:val="24"/>
              </w:rPr>
            </w:pPr>
            <w:r>
              <w:rPr>
                <w:rFonts w:ascii="Times New Roman" w:hAnsi="Times New Roman" w:cs="Times New Roman"/>
                <w:sz w:val="24"/>
                <w:szCs w:val="24"/>
              </w:rPr>
              <w:t>Мотиви</w:t>
            </w:r>
          </w:p>
        </w:tc>
      </w:tr>
      <w:tr w:rsidR="003906D7" w:rsidRPr="00F13BDE" w14:paraId="4F88A799" w14:textId="77777777" w:rsidTr="003906D7">
        <w:trPr>
          <w:trHeight w:val="288"/>
        </w:trPr>
        <w:tc>
          <w:tcPr>
            <w:tcW w:w="421" w:type="dxa"/>
          </w:tcPr>
          <w:p w14:paraId="2069559D" w14:textId="437618F8" w:rsidR="003906D7" w:rsidRPr="00F13BDE" w:rsidRDefault="00A819E0" w:rsidP="00B53C16">
            <w:pPr>
              <w:spacing w:line="276" w:lineRule="auto"/>
              <w:rPr>
                <w:rFonts w:ascii="Times New Roman" w:hAnsi="Times New Roman" w:cs="Times New Roman"/>
                <w:sz w:val="24"/>
                <w:szCs w:val="24"/>
              </w:rPr>
            </w:pPr>
            <w:r>
              <w:rPr>
                <w:rFonts w:ascii="Times New Roman" w:hAnsi="Times New Roman" w:cs="Times New Roman"/>
                <w:sz w:val="24"/>
                <w:szCs w:val="24"/>
              </w:rPr>
              <w:t>1</w:t>
            </w:r>
            <w:r w:rsidR="00CD3F60">
              <w:rPr>
                <w:rFonts w:ascii="Times New Roman" w:hAnsi="Times New Roman" w:cs="Times New Roman"/>
                <w:sz w:val="24"/>
                <w:szCs w:val="24"/>
              </w:rPr>
              <w:t>.</w:t>
            </w:r>
          </w:p>
        </w:tc>
        <w:tc>
          <w:tcPr>
            <w:tcW w:w="1984" w:type="dxa"/>
          </w:tcPr>
          <w:p w14:paraId="040638E3" w14:textId="122BE4F5" w:rsidR="003906D7" w:rsidRPr="00F13BDE" w:rsidRDefault="00A819E0" w:rsidP="0058526D">
            <w:pPr>
              <w:spacing w:line="276" w:lineRule="auto"/>
              <w:rPr>
                <w:rFonts w:ascii="Times New Roman" w:hAnsi="Times New Roman" w:cs="Times New Roman"/>
                <w:sz w:val="24"/>
                <w:szCs w:val="24"/>
              </w:rPr>
            </w:pPr>
            <w:r>
              <w:rPr>
                <w:rFonts w:ascii="Times New Roman" w:hAnsi="Times New Roman" w:cs="Times New Roman"/>
                <w:sz w:val="24"/>
                <w:szCs w:val="24"/>
              </w:rPr>
              <w:t>Министерство на финансите</w:t>
            </w:r>
          </w:p>
        </w:tc>
        <w:tc>
          <w:tcPr>
            <w:tcW w:w="6030" w:type="dxa"/>
          </w:tcPr>
          <w:p w14:paraId="73601197" w14:textId="77777777" w:rsidR="00A819E0" w:rsidRPr="00A819E0" w:rsidRDefault="00A819E0" w:rsidP="00A819E0">
            <w:pPr>
              <w:spacing w:line="276" w:lineRule="auto"/>
              <w:jc w:val="both"/>
              <w:rPr>
                <w:rFonts w:ascii="Times New Roman" w:hAnsi="Times New Roman"/>
                <w:sz w:val="24"/>
                <w:szCs w:val="24"/>
              </w:rPr>
            </w:pPr>
            <w:r w:rsidRPr="00A819E0">
              <w:rPr>
                <w:rFonts w:ascii="Times New Roman" w:hAnsi="Times New Roman"/>
                <w:sz w:val="24"/>
                <w:szCs w:val="24"/>
              </w:rPr>
              <w:t xml:space="preserve">Относно предложения за обсъждане Проект на Интегрираната териториална стратегия за развитие (ИТСР) на ЮЦР, принципно, Министерство на финансите не е против разработването й. Но е важно да се направи едно уточнение, тъй като в текста съществува формулировката: „Финансовите средства са оценени в следните направления: </w:t>
            </w:r>
          </w:p>
          <w:p w14:paraId="478FCA29" w14:textId="28F6B2C4" w:rsidR="00A819E0" w:rsidRPr="00A819E0" w:rsidRDefault="00A819E0" w:rsidP="00A819E0">
            <w:pPr>
              <w:spacing w:line="276" w:lineRule="auto"/>
              <w:rPr>
                <w:rFonts w:ascii="Times New Roman" w:hAnsi="Times New Roman"/>
                <w:sz w:val="24"/>
                <w:szCs w:val="24"/>
              </w:rPr>
            </w:pPr>
            <w:r>
              <w:rPr>
                <w:rFonts w:ascii="Times New Roman" w:hAnsi="Times New Roman"/>
                <w:sz w:val="24"/>
                <w:szCs w:val="24"/>
              </w:rPr>
              <w:t xml:space="preserve">и </w:t>
            </w:r>
            <w:r w:rsidRPr="00A819E0">
              <w:rPr>
                <w:rFonts w:ascii="Times New Roman" w:hAnsi="Times New Roman"/>
                <w:sz w:val="24"/>
                <w:szCs w:val="24"/>
              </w:rPr>
              <w:t>национално публично финансиране (републикански/централен бюджет, бюджети на общините, публични фондове);…“</w:t>
            </w:r>
          </w:p>
          <w:p w14:paraId="724B6DEB" w14:textId="77777777" w:rsidR="00A819E0" w:rsidRPr="00A819E0" w:rsidRDefault="00A819E0" w:rsidP="00A819E0">
            <w:pPr>
              <w:spacing w:line="276" w:lineRule="auto"/>
              <w:jc w:val="both"/>
              <w:rPr>
                <w:rFonts w:ascii="Times New Roman" w:hAnsi="Times New Roman"/>
                <w:sz w:val="24"/>
                <w:szCs w:val="24"/>
              </w:rPr>
            </w:pPr>
            <w:r w:rsidRPr="00A819E0">
              <w:rPr>
                <w:rFonts w:ascii="Times New Roman" w:hAnsi="Times New Roman"/>
                <w:sz w:val="24"/>
                <w:szCs w:val="24"/>
              </w:rPr>
              <w:t> </w:t>
            </w:r>
          </w:p>
          <w:p w14:paraId="52C4C735" w14:textId="77777777" w:rsidR="00A819E0" w:rsidRPr="00A819E0" w:rsidRDefault="00A819E0" w:rsidP="00A819E0">
            <w:pPr>
              <w:spacing w:line="276" w:lineRule="auto"/>
              <w:jc w:val="both"/>
              <w:rPr>
                <w:rFonts w:ascii="Times New Roman" w:hAnsi="Times New Roman"/>
                <w:sz w:val="24"/>
                <w:szCs w:val="24"/>
              </w:rPr>
            </w:pPr>
            <w:r w:rsidRPr="00A819E0">
              <w:rPr>
                <w:rFonts w:ascii="Times New Roman" w:hAnsi="Times New Roman"/>
                <w:sz w:val="24"/>
                <w:szCs w:val="24"/>
              </w:rPr>
              <w:t xml:space="preserve">Отбелязваме, че финансовите параметри, необходими за реализиране на Интегрираната  териториална стратегия, следва да са съобразени с параметрите на закона за бюджета за съответната финансова година и с параметрите на средносрочната бюджетна прогноза, приети в изпълнение на ЗПФ от Министерския съвет. Следователно, не трябва да се включват разходи и да се поемат неосигурени ангажименти за разходи и нови задължения за разходи, извън рамките на допустимите </w:t>
            </w:r>
            <w:r w:rsidRPr="00A819E0">
              <w:rPr>
                <w:rFonts w:ascii="Times New Roman" w:hAnsi="Times New Roman"/>
                <w:sz w:val="24"/>
                <w:szCs w:val="24"/>
              </w:rPr>
              <w:lastRenderedPageBreak/>
              <w:t xml:space="preserve">параметри, съгласно ЗПФ и ЗДБРБ за съответната година – 2022 г. и 2023 г. </w:t>
            </w:r>
          </w:p>
          <w:p w14:paraId="1661D322" w14:textId="54BA3B0A" w:rsidR="003906D7" w:rsidRPr="00A819E0" w:rsidRDefault="003906D7" w:rsidP="00A819E0">
            <w:pPr>
              <w:spacing w:line="276" w:lineRule="auto"/>
              <w:jc w:val="both"/>
              <w:rPr>
                <w:rFonts w:ascii="Times New Roman" w:hAnsi="Times New Roman"/>
                <w:sz w:val="24"/>
                <w:szCs w:val="24"/>
              </w:rPr>
            </w:pPr>
          </w:p>
        </w:tc>
        <w:tc>
          <w:tcPr>
            <w:tcW w:w="1908" w:type="dxa"/>
          </w:tcPr>
          <w:p w14:paraId="4BDEB0B1" w14:textId="49354597" w:rsidR="003906D7" w:rsidRPr="00AE5C33" w:rsidRDefault="00B426CE" w:rsidP="00B53C16">
            <w:pPr>
              <w:spacing w:line="276" w:lineRule="auto"/>
              <w:jc w:val="both"/>
              <w:rPr>
                <w:rFonts w:ascii="Times New Roman" w:hAnsi="Times New Roman" w:cs="Times New Roman"/>
                <w:sz w:val="24"/>
                <w:szCs w:val="24"/>
                <w:highlight w:val="yellow"/>
              </w:rPr>
            </w:pPr>
            <w:r>
              <w:rPr>
                <w:rFonts w:ascii="Times New Roman" w:hAnsi="Times New Roman" w:cs="Times New Roman"/>
                <w:sz w:val="24"/>
                <w:szCs w:val="24"/>
              </w:rPr>
              <w:lastRenderedPageBreak/>
              <w:t>П</w:t>
            </w:r>
            <w:r w:rsidR="00A819E0" w:rsidRPr="00A819E0">
              <w:rPr>
                <w:rFonts w:ascii="Times New Roman" w:hAnsi="Times New Roman" w:cs="Times New Roman"/>
                <w:sz w:val="24"/>
                <w:szCs w:val="24"/>
              </w:rPr>
              <w:t>риема</w:t>
            </w:r>
            <w:r w:rsidR="0047572B">
              <w:rPr>
                <w:rFonts w:ascii="Times New Roman" w:hAnsi="Times New Roman" w:cs="Times New Roman"/>
                <w:sz w:val="24"/>
                <w:szCs w:val="24"/>
              </w:rPr>
              <w:t xml:space="preserve"> се.</w:t>
            </w:r>
          </w:p>
        </w:tc>
        <w:tc>
          <w:tcPr>
            <w:tcW w:w="4046" w:type="dxa"/>
          </w:tcPr>
          <w:p w14:paraId="7474F962" w14:textId="6B2EFF70" w:rsidR="00A819E0" w:rsidRPr="00A819E0" w:rsidRDefault="00AC17BC" w:rsidP="00A819E0">
            <w:pPr>
              <w:spacing w:line="276" w:lineRule="auto"/>
              <w:jc w:val="both"/>
              <w:rPr>
                <w:rFonts w:ascii="Times New Roman" w:hAnsi="Times New Roman" w:cs="Times New Roman"/>
                <w:sz w:val="24"/>
                <w:szCs w:val="24"/>
              </w:rPr>
            </w:pPr>
            <w:r>
              <w:rPr>
                <w:rFonts w:ascii="Times New Roman" w:hAnsi="Times New Roman" w:cs="Times New Roman"/>
                <w:sz w:val="24"/>
                <w:szCs w:val="24"/>
              </w:rPr>
              <w:t>Съгласно чл.11, ал.5 т.10 от Закона за регионалното развитие, ИТСР съдържа</w:t>
            </w:r>
            <w:r w:rsidRPr="00AC17BC">
              <w:rPr>
                <w:rFonts w:ascii="Times New Roman" w:hAnsi="Times New Roman" w:cs="Times New Roman"/>
                <w:sz w:val="24"/>
                <w:szCs w:val="24"/>
              </w:rPr>
              <w:t xml:space="preserve"> индикативен списък на важни за региона за планиране от ниво 2 проектни идеи с индикативни бюджети и оптимален график на изпълнение</w:t>
            </w:r>
            <w:r>
              <w:rPr>
                <w:rFonts w:ascii="Times New Roman" w:hAnsi="Times New Roman" w:cs="Times New Roman"/>
                <w:sz w:val="24"/>
                <w:szCs w:val="24"/>
              </w:rPr>
              <w:t xml:space="preserve">. Предложената обща финансова рамка е прогнозна и </w:t>
            </w:r>
            <w:r w:rsidR="00473EC5">
              <w:rPr>
                <w:rFonts w:ascii="Times New Roman" w:hAnsi="Times New Roman" w:cs="Times New Roman"/>
                <w:sz w:val="24"/>
                <w:szCs w:val="24"/>
              </w:rPr>
              <w:t xml:space="preserve">отразява </w:t>
            </w:r>
            <w:r w:rsidRPr="00473EC5">
              <w:rPr>
                <w:rFonts w:ascii="Times New Roman" w:hAnsi="Times New Roman" w:cs="Times New Roman"/>
                <w:b/>
                <w:sz w:val="24"/>
                <w:szCs w:val="24"/>
              </w:rPr>
              <w:t>необходимия</w:t>
            </w:r>
            <w:r w:rsidR="00473EC5">
              <w:rPr>
                <w:rFonts w:ascii="Times New Roman" w:hAnsi="Times New Roman" w:cs="Times New Roman"/>
                <w:sz w:val="24"/>
                <w:szCs w:val="24"/>
              </w:rPr>
              <w:t>, а не осигурения</w:t>
            </w:r>
            <w:r>
              <w:rPr>
                <w:rFonts w:ascii="Times New Roman" w:hAnsi="Times New Roman" w:cs="Times New Roman"/>
                <w:sz w:val="24"/>
                <w:szCs w:val="24"/>
              </w:rPr>
              <w:t xml:space="preserve"> финансов ресур</w:t>
            </w:r>
            <w:r w:rsidR="00473EC5">
              <w:rPr>
                <w:rFonts w:ascii="Times New Roman" w:hAnsi="Times New Roman" w:cs="Times New Roman"/>
                <w:sz w:val="24"/>
                <w:szCs w:val="24"/>
              </w:rPr>
              <w:t xml:space="preserve">с, който е </w:t>
            </w:r>
            <w:r w:rsidRPr="00AC17BC">
              <w:rPr>
                <w:rFonts w:ascii="Times New Roman" w:hAnsi="Times New Roman" w:cs="Times New Roman"/>
                <w:sz w:val="24"/>
                <w:szCs w:val="24"/>
              </w:rPr>
              <w:t xml:space="preserve"> предпоставка за постигане на поставе</w:t>
            </w:r>
            <w:r w:rsidR="00473EC5">
              <w:rPr>
                <w:rFonts w:ascii="Times New Roman" w:hAnsi="Times New Roman" w:cs="Times New Roman"/>
                <w:sz w:val="24"/>
                <w:szCs w:val="24"/>
              </w:rPr>
              <w:t xml:space="preserve">ните стратегически приоритети и </w:t>
            </w:r>
            <w:r w:rsidRPr="00AC17BC">
              <w:rPr>
                <w:rFonts w:ascii="Times New Roman" w:hAnsi="Times New Roman" w:cs="Times New Roman"/>
                <w:sz w:val="24"/>
                <w:szCs w:val="24"/>
              </w:rPr>
              <w:t>с</w:t>
            </w:r>
            <w:r w:rsidR="00473EC5">
              <w:rPr>
                <w:rFonts w:ascii="Times New Roman" w:hAnsi="Times New Roman" w:cs="Times New Roman"/>
                <w:sz w:val="24"/>
                <w:szCs w:val="24"/>
              </w:rPr>
              <w:t>пецифични цели. В този смисъл, доколкото изпълнението на ИТСР не е стартирало и идентифицираните нужди са с прогнозни финансови параметри, конкретните проектни идеи ще търсят различни източници на финансиране, вкл. и комбинирано финансиране</w:t>
            </w:r>
            <w:r w:rsidR="00127DE5">
              <w:rPr>
                <w:rFonts w:ascii="Times New Roman" w:hAnsi="Times New Roman" w:cs="Times New Roman"/>
                <w:sz w:val="24"/>
                <w:szCs w:val="24"/>
              </w:rPr>
              <w:t>,</w:t>
            </w:r>
            <w:r w:rsidR="00473EC5">
              <w:rPr>
                <w:rFonts w:ascii="Times New Roman" w:hAnsi="Times New Roman" w:cs="Times New Roman"/>
                <w:sz w:val="24"/>
                <w:szCs w:val="24"/>
              </w:rPr>
              <w:t xml:space="preserve"> като държавният </w:t>
            </w:r>
            <w:r w:rsidR="00473EC5">
              <w:rPr>
                <w:rFonts w:ascii="Times New Roman" w:hAnsi="Times New Roman" w:cs="Times New Roman"/>
                <w:sz w:val="24"/>
                <w:szCs w:val="24"/>
              </w:rPr>
              <w:lastRenderedPageBreak/>
              <w:t>бюджет е посочен като една от възможностите</w:t>
            </w:r>
            <w:r w:rsidR="00127DE5">
              <w:rPr>
                <w:rFonts w:ascii="Times New Roman" w:hAnsi="Times New Roman" w:cs="Times New Roman"/>
                <w:sz w:val="24"/>
                <w:szCs w:val="24"/>
              </w:rPr>
              <w:t xml:space="preserve"> за финансиране</w:t>
            </w:r>
            <w:r w:rsidR="00473EC5">
              <w:rPr>
                <w:rFonts w:ascii="Times New Roman" w:hAnsi="Times New Roman" w:cs="Times New Roman"/>
                <w:sz w:val="24"/>
                <w:szCs w:val="24"/>
              </w:rPr>
              <w:t>. Предвижда се при подаването на всяко конкретно проектно пр</w:t>
            </w:r>
            <w:r w:rsidR="00B426CE">
              <w:rPr>
                <w:rFonts w:ascii="Times New Roman" w:hAnsi="Times New Roman" w:cs="Times New Roman"/>
                <w:sz w:val="24"/>
                <w:szCs w:val="24"/>
              </w:rPr>
              <w:t xml:space="preserve">едложение </w:t>
            </w:r>
            <w:r w:rsidR="00127DE5">
              <w:rPr>
                <w:rFonts w:ascii="Times New Roman" w:hAnsi="Times New Roman" w:cs="Times New Roman"/>
                <w:sz w:val="24"/>
                <w:szCs w:val="24"/>
              </w:rPr>
              <w:t xml:space="preserve">по отворени процедури за финансиране </w:t>
            </w:r>
            <w:r w:rsidR="00B426CE">
              <w:rPr>
                <w:rFonts w:ascii="Times New Roman" w:hAnsi="Times New Roman" w:cs="Times New Roman"/>
                <w:sz w:val="24"/>
                <w:szCs w:val="24"/>
              </w:rPr>
              <w:t>да бъде разписан и източникът на неговото финансиране. В случай</w:t>
            </w:r>
            <w:r w:rsidR="00127DE5">
              <w:rPr>
                <w:rFonts w:ascii="Times New Roman" w:hAnsi="Times New Roman" w:cs="Times New Roman"/>
                <w:sz w:val="24"/>
                <w:szCs w:val="24"/>
              </w:rPr>
              <w:t>,</w:t>
            </w:r>
            <w:r w:rsidR="00B426CE">
              <w:rPr>
                <w:rFonts w:ascii="Times New Roman" w:hAnsi="Times New Roman" w:cs="Times New Roman"/>
                <w:sz w:val="24"/>
                <w:szCs w:val="24"/>
              </w:rPr>
              <w:t xml:space="preserve"> че е необходимо финансиране от държавния бюджет отчитаме, че съответните заинтересовани страни ще е необходимо да се съобразят с изискванията за съобразяване със </w:t>
            </w:r>
            <w:r w:rsidR="00B426CE" w:rsidRPr="00B426CE">
              <w:rPr>
                <w:rFonts w:ascii="Times New Roman" w:hAnsi="Times New Roman" w:cs="Times New Roman"/>
                <w:sz w:val="24"/>
                <w:szCs w:val="24"/>
              </w:rPr>
              <w:t>средносрочната бюджетна прогноза</w:t>
            </w:r>
            <w:r w:rsidR="00B426CE">
              <w:rPr>
                <w:rFonts w:ascii="Times New Roman" w:hAnsi="Times New Roman" w:cs="Times New Roman"/>
                <w:sz w:val="24"/>
                <w:szCs w:val="24"/>
              </w:rPr>
              <w:t xml:space="preserve"> за съответния период. </w:t>
            </w:r>
            <w:r w:rsidR="00A819E0" w:rsidRPr="00A819E0">
              <w:rPr>
                <w:rFonts w:ascii="Times New Roman" w:hAnsi="Times New Roman" w:cs="Times New Roman"/>
                <w:sz w:val="24"/>
                <w:szCs w:val="24"/>
              </w:rPr>
              <w:t>Финансовата рамка</w:t>
            </w:r>
            <w:r w:rsidR="00127DE5">
              <w:rPr>
                <w:rFonts w:ascii="Times New Roman" w:hAnsi="Times New Roman" w:cs="Times New Roman"/>
                <w:sz w:val="24"/>
                <w:szCs w:val="24"/>
              </w:rPr>
              <w:t>,</w:t>
            </w:r>
            <w:r w:rsidR="00A819E0" w:rsidRPr="00A819E0">
              <w:rPr>
                <w:rFonts w:ascii="Times New Roman" w:hAnsi="Times New Roman" w:cs="Times New Roman"/>
                <w:sz w:val="24"/>
                <w:szCs w:val="24"/>
              </w:rPr>
              <w:t xml:space="preserve"> </w:t>
            </w:r>
            <w:r w:rsidR="00B426CE">
              <w:rPr>
                <w:rFonts w:ascii="Times New Roman" w:hAnsi="Times New Roman" w:cs="Times New Roman"/>
                <w:sz w:val="24"/>
                <w:szCs w:val="24"/>
              </w:rPr>
              <w:t xml:space="preserve">предложена в ИТСР </w:t>
            </w:r>
            <w:r w:rsidR="00A819E0" w:rsidRPr="00A819E0">
              <w:rPr>
                <w:rFonts w:ascii="Times New Roman" w:hAnsi="Times New Roman" w:cs="Times New Roman"/>
                <w:sz w:val="24"/>
                <w:szCs w:val="24"/>
              </w:rPr>
              <w:t xml:space="preserve">е и условие за </w:t>
            </w:r>
            <w:r w:rsidR="00B426CE">
              <w:rPr>
                <w:rFonts w:ascii="Times New Roman" w:hAnsi="Times New Roman" w:cs="Times New Roman"/>
                <w:sz w:val="24"/>
                <w:szCs w:val="24"/>
              </w:rPr>
              <w:t xml:space="preserve">мобилизиране на всички възможни </w:t>
            </w:r>
            <w:r w:rsidR="00A819E0" w:rsidRPr="00A819E0">
              <w:rPr>
                <w:rFonts w:ascii="Times New Roman" w:hAnsi="Times New Roman" w:cs="Times New Roman"/>
                <w:sz w:val="24"/>
                <w:szCs w:val="24"/>
              </w:rPr>
              <w:t>източници на финансиране – средства от фондове</w:t>
            </w:r>
            <w:r w:rsidR="00127DE5">
              <w:rPr>
                <w:rFonts w:ascii="Times New Roman" w:hAnsi="Times New Roman" w:cs="Times New Roman"/>
                <w:sz w:val="24"/>
                <w:szCs w:val="24"/>
              </w:rPr>
              <w:t>те</w:t>
            </w:r>
            <w:r w:rsidR="00A819E0" w:rsidRPr="00A819E0">
              <w:rPr>
                <w:rFonts w:ascii="Times New Roman" w:hAnsi="Times New Roman" w:cs="Times New Roman"/>
                <w:sz w:val="24"/>
                <w:szCs w:val="24"/>
              </w:rPr>
              <w:t xml:space="preserve"> на Европейския съюз, национален и</w:t>
            </w:r>
          </w:p>
          <w:p w14:paraId="1DEF8215" w14:textId="11C690DB" w:rsidR="00A819E0" w:rsidRPr="00A819E0" w:rsidRDefault="00A819E0" w:rsidP="00A819E0">
            <w:pPr>
              <w:spacing w:line="276" w:lineRule="auto"/>
              <w:jc w:val="both"/>
              <w:rPr>
                <w:rFonts w:ascii="Times New Roman" w:hAnsi="Times New Roman" w:cs="Times New Roman"/>
                <w:sz w:val="24"/>
                <w:szCs w:val="24"/>
              </w:rPr>
            </w:pPr>
            <w:r w:rsidRPr="00A819E0">
              <w:rPr>
                <w:rFonts w:ascii="Times New Roman" w:hAnsi="Times New Roman" w:cs="Times New Roman"/>
                <w:sz w:val="24"/>
                <w:szCs w:val="24"/>
              </w:rPr>
              <w:t>общински бюджети, допълнителни ресурси от други изто</w:t>
            </w:r>
            <w:r w:rsidR="00B426CE">
              <w:rPr>
                <w:rFonts w:ascii="Times New Roman" w:hAnsi="Times New Roman" w:cs="Times New Roman"/>
                <w:sz w:val="24"/>
                <w:szCs w:val="24"/>
              </w:rPr>
              <w:t xml:space="preserve">чници – публични и частни. Тя е </w:t>
            </w:r>
            <w:r w:rsidRPr="00A819E0">
              <w:rPr>
                <w:rFonts w:ascii="Times New Roman" w:hAnsi="Times New Roman" w:cs="Times New Roman"/>
                <w:sz w:val="24"/>
                <w:szCs w:val="24"/>
              </w:rPr>
              <w:t>ориентирана към насочването на външните и вътре</w:t>
            </w:r>
            <w:r w:rsidR="00B426CE">
              <w:rPr>
                <w:rFonts w:ascii="Times New Roman" w:hAnsi="Times New Roman" w:cs="Times New Roman"/>
                <w:sz w:val="24"/>
                <w:szCs w:val="24"/>
              </w:rPr>
              <w:t xml:space="preserve">шните инвеститори към избраните </w:t>
            </w:r>
            <w:r w:rsidRPr="00A819E0">
              <w:rPr>
                <w:rFonts w:ascii="Times New Roman" w:hAnsi="Times New Roman" w:cs="Times New Roman"/>
                <w:sz w:val="24"/>
                <w:szCs w:val="24"/>
              </w:rPr>
              <w:t>приоритетни области, които ще получават публично финансиране и по този начин ще се</w:t>
            </w:r>
          </w:p>
          <w:p w14:paraId="41ED815D" w14:textId="0E74E19C" w:rsidR="00AF6841" w:rsidRPr="00B426CE" w:rsidRDefault="00A819E0" w:rsidP="00AF6841">
            <w:pPr>
              <w:spacing w:line="276" w:lineRule="auto"/>
              <w:jc w:val="both"/>
              <w:rPr>
                <w:rFonts w:ascii="Times New Roman" w:hAnsi="Times New Roman" w:cs="Times New Roman"/>
                <w:sz w:val="24"/>
                <w:szCs w:val="24"/>
              </w:rPr>
            </w:pPr>
            <w:r w:rsidRPr="00A819E0">
              <w:rPr>
                <w:rFonts w:ascii="Times New Roman" w:hAnsi="Times New Roman" w:cs="Times New Roman"/>
                <w:sz w:val="24"/>
                <w:szCs w:val="24"/>
              </w:rPr>
              <w:lastRenderedPageBreak/>
              <w:t>създаде по-благоприятна бизнес среда в съответните сектори</w:t>
            </w:r>
            <w:r w:rsidR="00F45E87">
              <w:rPr>
                <w:rFonts w:ascii="Times New Roman" w:hAnsi="Times New Roman" w:cs="Times New Roman"/>
                <w:sz w:val="24"/>
                <w:szCs w:val="24"/>
              </w:rPr>
              <w:t xml:space="preserve">. </w:t>
            </w:r>
            <w:r w:rsidRPr="00A819E0">
              <w:rPr>
                <w:rFonts w:ascii="Times New Roman" w:hAnsi="Times New Roman" w:cs="Times New Roman"/>
                <w:sz w:val="24"/>
                <w:szCs w:val="24"/>
              </w:rPr>
              <w:t>Следва да се има предви</w:t>
            </w:r>
            <w:r w:rsidR="00B426CE">
              <w:rPr>
                <w:rFonts w:ascii="Times New Roman" w:hAnsi="Times New Roman" w:cs="Times New Roman"/>
                <w:sz w:val="24"/>
                <w:szCs w:val="24"/>
              </w:rPr>
              <w:t xml:space="preserve">д, че общата сума на посочените </w:t>
            </w:r>
            <w:r w:rsidRPr="00A819E0">
              <w:rPr>
                <w:rFonts w:ascii="Times New Roman" w:hAnsi="Times New Roman" w:cs="Times New Roman"/>
                <w:sz w:val="24"/>
                <w:szCs w:val="24"/>
              </w:rPr>
              <w:t>финансови ресурси, включително по отделните цели и мерки, е индикативна и може да</w:t>
            </w:r>
            <w:r w:rsidR="00B426CE">
              <w:rPr>
                <w:rFonts w:ascii="Times New Roman" w:hAnsi="Times New Roman" w:cs="Times New Roman"/>
                <w:sz w:val="24"/>
                <w:szCs w:val="24"/>
              </w:rPr>
              <w:t xml:space="preserve"> </w:t>
            </w:r>
            <w:r w:rsidR="00AF6841" w:rsidRPr="00AF6841">
              <w:rPr>
                <w:rFonts w:ascii="Times New Roman" w:hAnsi="Times New Roman" w:cs="Times New Roman"/>
                <w:sz w:val="24"/>
                <w:szCs w:val="24"/>
              </w:rPr>
              <w:t>претърпи корекции в зависимост от възприетите подх</w:t>
            </w:r>
            <w:r w:rsidR="00B426CE">
              <w:rPr>
                <w:rFonts w:ascii="Times New Roman" w:hAnsi="Times New Roman" w:cs="Times New Roman"/>
                <w:sz w:val="24"/>
                <w:szCs w:val="24"/>
              </w:rPr>
              <w:t xml:space="preserve">оди и степента на изпълнение на </w:t>
            </w:r>
            <w:r w:rsidR="00AF6841" w:rsidRPr="00AF6841">
              <w:rPr>
                <w:rFonts w:ascii="Times New Roman" w:hAnsi="Times New Roman" w:cs="Times New Roman"/>
                <w:sz w:val="24"/>
                <w:szCs w:val="24"/>
              </w:rPr>
              <w:t>целите, промените в пазарните условия, необход</w:t>
            </w:r>
            <w:r w:rsidR="00B426CE">
              <w:rPr>
                <w:rFonts w:ascii="Times New Roman" w:hAnsi="Times New Roman" w:cs="Times New Roman"/>
                <w:sz w:val="24"/>
                <w:szCs w:val="24"/>
              </w:rPr>
              <w:t xml:space="preserve">имостта от гъвкаво управление и </w:t>
            </w:r>
            <w:r w:rsidR="00AF6841" w:rsidRPr="00AF6841">
              <w:rPr>
                <w:rFonts w:ascii="Times New Roman" w:hAnsi="Times New Roman" w:cs="Times New Roman"/>
                <w:sz w:val="24"/>
                <w:szCs w:val="24"/>
              </w:rPr>
              <w:t>оптимизиране на предвидените средства</w:t>
            </w:r>
            <w:r w:rsidR="00F45E87">
              <w:rPr>
                <w:rFonts w:ascii="Times New Roman" w:hAnsi="Times New Roman" w:cs="Times New Roman"/>
                <w:sz w:val="24"/>
                <w:szCs w:val="24"/>
              </w:rPr>
              <w:t>.</w:t>
            </w:r>
          </w:p>
        </w:tc>
      </w:tr>
      <w:tr w:rsidR="003906D7" w:rsidRPr="00F13BDE" w14:paraId="696D8B52" w14:textId="77777777" w:rsidTr="003906D7">
        <w:trPr>
          <w:trHeight w:val="491"/>
        </w:trPr>
        <w:tc>
          <w:tcPr>
            <w:tcW w:w="421" w:type="dxa"/>
          </w:tcPr>
          <w:p w14:paraId="4892781E" w14:textId="47DFF960" w:rsidR="003906D7" w:rsidRPr="00A63D95" w:rsidRDefault="00A819E0" w:rsidP="00A63D95">
            <w:pPr>
              <w:spacing w:line="276" w:lineRule="auto"/>
              <w:rPr>
                <w:rFonts w:ascii="Times New Roman" w:hAnsi="Times New Roman"/>
                <w:sz w:val="24"/>
                <w:szCs w:val="24"/>
              </w:rPr>
            </w:pPr>
            <w:r>
              <w:rPr>
                <w:rFonts w:ascii="Times New Roman" w:hAnsi="Times New Roman" w:cs="Times New Roman"/>
                <w:sz w:val="24"/>
                <w:szCs w:val="24"/>
              </w:rPr>
              <w:lastRenderedPageBreak/>
              <w:t>2</w:t>
            </w:r>
            <w:r w:rsidR="00A63D95" w:rsidRPr="00A63D95">
              <w:rPr>
                <w:rFonts w:ascii="Times New Roman" w:hAnsi="Times New Roman" w:cs="Times New Roman"/>
                <w:sz w:val="24"/>
                <w:szCs w:val="24"/>
              </w:rPr>
              <w:t>.</w:t>
            </w:r>
            <w:r w:rsidR="00A63D95">
              <w:rPr>
                <w:rFonts w:ascii="Times New Roman" w:hAnsi="Times New Roman"/>
                <w:sz w:val="24"/>
                <w:szCs w:val="24"/>
              </w:rPr>
              <w:t xml:space="preserve"> </w:t>
            </w:r>
          </w:p>
        </w:tc>
        <w:tc>
          <w:tcPr>
            <w:tcW w:w="1984" w:type="dxa"/>
          </w:tcPr>
          <w:p w14:paraId="3616E114" w14:textId="75008E98" w:rsidR="003906D7" w:rsidRPr="00F036A2" w:rsidRDefault="00F036A2" w:rsidP="00A63D95">
            <w:pPr>
              <w:spacing w:line="276" w:lineRule="auto"/>
              <w:rPr>
                <w:rFonts w:ascii="Times New Roman" w:hAnsi="Times New Roman" w:cs="Times New Roman"/>
                <w:sz w:val="24"/>
                <w:szCs w:val="24"/>
              </w:rPr>
            </w:pPr>
            <w:r>
              <w:rPr>
                <w:rFonts w:ascii="Times New Roman" w:hAnsi="Times New Roman" w:cs="Times New Roman"/>
                <w:sz w:val="24"/>
                <w:szCs w:val="24"/>
              </w:rPr>
              <w:t>Министерство на енергетиката</w:t>
            </w:r>
          </w:p>
        </w:tc>
        <w:tc>
          <w:tcPr>
            <w:tcW w:w="6030" w:type="dxa"/>
          </w:tcPr>
          <w:p w14:paraId="08702D71" w14:textId="780AEBF8" w:rsidR="00F036A2" w:rsidRPr="00F036A2" w:rsidRDefault="00F036A2" w:rsidP="00F036A2">
            <w:pPr>
              <w:jc w:val="both"/>
              <w:rPr>
                <w:rFonts w:ascii="Times New Roman" w:eastAsia="Times New Roman" w:hAnsi="Times New Roman" w:cs="Times New Roman"/>
                <w:sz w:val="24"/>
                <w:szCs w:val="24"/>
                <w:lang w:eastAsia="bg-BG"/>
              </w:rPr>
            </w:pPr>
            <w:r w:rsidRPr="00F036A2">
              <w:rPr>
                <w:rFonts w:ascii="Times New Roman" w:eastAsia="Times New Roman" w:hAnsi="Times New Roman" w:cs="Times New Roman"/>
                <w:sz w:val="24"/>
                <w:szCs w:val="24"/>
                <w:lang w:eastAsia="bg-BG"/>
              </w:rPr>
              <w:t xml:space="preserve">На стр.16 (стр.31 от </w:t>
            </w:r>
            <w:proofErr w:type="spellStart"/>
            <w:r w:rsidRPr="00F036A2">
              <w:rPr>
                <w:rFonts w:ascii="Times New Roman" w:eastAsia="Times New Roman" w:hAnsi="Times New Roman" w:cs="Times New Roman"/>
                <w:sz w:val="24"/>
                <w:szCs w:val="24"/>
                <w:lang w:eastAsia="bg-BG"/>
              </w:rPr>
              <w:t>pdf</w:t>
            </w:r>
            <w:proofErr w:type="spellEnd"/>
            <w:r w:rsidRPr="00F036A2">
              <w:rPr>
                <w:rFonts w:ascii="Times New Roman" w:eastAsia="Times New Roman" w:hAnsi="Times New Roman" w:cs="Times New Roman"/>
                <w:sz w:val="24"/>
                <w:szCs w:val="24"/>
                <w:lang w:eastAsia="bg-BG"/>
              </w:rPr>
              <w:t xml:space="preserve"> файла) в частта 2.2.1. </w:t>
            </w:r>
            <w:r w:rsidRPr="00F036A2">
              <w:rPr>
                <w:rFonts w:ascii="Times New Roman" w:eastAsia="Times New Roman" w:hAnsi="Times New Roman" w:cs="Times New Roman"/>
                <w:b/>
                <w:bCs/>
                <w:sz w:val="24"/>
                <w:szCs w:val="24"/>
                <w:lang w:eastAsia="bg-BG"/>
              </w:rPr>
              <w:t>Природни условия и ресурси</w:t>
            </w:r>
            <w:r w:rsidRPr="00F036A2">
              <w:rPr>
                <w:rFonts w:ascii="Times New Roman" w:eastAsia="Times New Roman" w:hAnsi="Times New Roman" w:cs="Times New Roman"/>
                <w:sz w:val="24"/>
                <w:szCs w:val="24"/>
                <w:lang w:eastAsia="bg-BG"/>
              </w:rPr>
              <w:t xml:space="preserve"> , "Полезни изкопаеми", в края на последното </w:t>
            </w:r>
            <w:r w:rsidR="00362584" w:rsidRPr="00F036A2">
              <w:rPr>
                <w:rFonts w:ascii="Times New Roman" w:eastAsia="Times New Roman" w:hAnsi="Times New Roman" w:cs="Times New Roman"/>
                <w:sz w:val="24"/>
                <w:szCs w:val="24"/>
                <w:lang w:eastAsia="bg-BG"/>
              </w:rPr>
              <w:t>изречение</w:t>
            </w:r>
            <w:r w:rsidRPr="00F036A2">
              <w:rPr>
                <w:rFonts w:ascii="Times New Roman" w:eastAsia="Times New Roman" w:hAnsi="Times New Roman" w:cs="Times New Roman"/>
                <w:sz w:val="24"/>
                <w:szCs w:val="24"/>
                <w:lang w:eastAsia="bg-BG"/>
              </w:rPr>
              <w:t xml:space="preserve"> е изписано </w:t>
            </w:r>
            <w:r w:rsidRPr="00F036A2">
              <w:rPr>
                <w:rFonts w:ascii="Times New Roman" w:eastAsia="Times New Roman" w:hAnsi="Times New Roman" w:cs="Times New Roman"/>
                <w:b/>
                <w:bCs/>
                <w:sz w:val="24"/>
                <w:szCs w:val="24"/>
                <w:lang w:eastAsia="bg-BG"/>
              </w:rPr>
              <w:t>"</w:t>
            </w:r>
            <w:proofErr w:type="spellStart"/>
            <w:r w:rsidRPr="00F036A2">
              <w:rPr>
                <w:rFonts w:ascii="Times New Roman" w:eastAsia="Times New Roman" w:hAnsi="Times New Roman" w:cs="Times New Roman"/>
                <w:b/>
                <w:bCs/>
                <w:sz w:val="24"/>
                <w:szCs w:val="24"/>
                <w:lang w:eastAsia="bg-BG"/>
              </w:rPr>
              <w:t>зоолит</w:t>
            </w:r>
            <w:proofErr w:type="spellEnd"/>
            <w:r w:rsidRPr="00F036A2">
              <w:rPr>
                <w:rFonts w:ascii="Times New Roman" w:eastAsia="Times New Roman" w:hAnsi="Times New Roman" w:cs="Times New Roman"/>
                <w:b/>
                <w:bCs/>
                <w:sz w:val="24"/>
                <w:szCs w:val="24"/>
                <w:lang w:eastAsia="bg-BG"/>
              </w:rPr>
              <w:t>"</w:t>
            </w:r>
            <w:r w:rsidRPr="00F036A2">
              <w:rPr>
                <w:rFonts w:ascii="Times New Roman" w:eastAsia="Times New Roman" w:hAnsi="Times New Roman" w:cs="Times New Roman"/>
                <w:sz w:val="24"/>
                <w:szCs w:val="24"/>
                <w:lang w:eastAsia="bg-BG"/>
              </w:rPr>
              <w:t xml:space="preserve">, а индустриалният минерал се нарича </w:t>
            </w:r>
            <w:r w:rsidRPr="00F036A2">
              <w:rPr>
                <w:rFonts w:ascii="Times New Roman" w:eastAsia="Times New Roman" w:hAnsi="Times New Roman" w:cs="Times New Roman"/>
                <w:b/>
                <w:bCs/>
                <w:sz w:val="24"/>
                <w:szCs w:val="24"/>
                <w:lang w:eastAsia="bg-BG"/>
              </w:rPr>
              <w:t>"</w:t>
            </w:r>
            <w:proofErr w:type="spellStart"/>
            <w:r w:rsidRPr="00F036A2">
              <w:rPr>
                <w:rFonts w:ascii="Times New Roman" w:eastAsia="Times New Roman" w:hAnsi="Times New Roman" w:cs="Times New Roman"/>
                <w:b/>
                <w:bCs/>
                <w:sz w:val="24"/>
                <w:szCs w:val="24"/>
                <w:lang w:eastAsia="bg-BG"/>
              </w:rPr>
              <w:t>зеолит</w:t>
            </w:r>
            <w:proofErr w:type="spellEnd"/>
            <w:r w:rsidRPr="00F036A2">
              <w:rPr>
                <w:rFonts w:ascii="Times New Roman" w:eastAsia="Times New Roman" w:hAnsi="Times New Roman" w:cs="Times New Roman"/>
                <w:b/>
                <w:bCs/>
                <w:sz w:val="24"/>
                <w:szCs w:val="24"/>
                <w:lang w:eastAsia="bg-BG"/>
              </w:rPr>
              <w:t>".</w:t>
            </w:r>
            <w:r w:rsidRPr="00F036A2">
              <w:rPr>
                <w:rFonts w:ascii="Times New Roman" w:eastAsia="Times New Roman" w:hAnsi="Times New Roman" w:cs="Times New Roman"/>
                <w:sz w:val="24"/>
                <w:szCs w:val="24"/>
                <w:lang w:eastAsia="bg-BG"/>
              </w:rPr>
              <w:t xml:space="preserve"> </w:t>
            </w:r>
          </w:p>
          <w:p w14:paraId="3D3A5DA7" w14:textId="7B449351" w:rsidR="00AC18FA" w:rsidRPr="00513D34" w:rsidRDefault="00AC18FA" w:rsidP="00055756">
            <w:pPr>
              <w:spacing w:line="276" w:lineRule="auto"/>
              <w:jc w:val="both"/>
              <w:rPr>
                <w:rFonts w:ascii="Times New Roman" w:hAnsi="Times New Roman" w:cs="Times New Roman"/>
                <w:iCs/>
                <w:sz w:val="24"/>
                <w:szCs w:val="24"/>
              </w:rPr>
            </w:pPr>
          </w:p>
        </w:tc>
        <w:tc>
          <w:tcPr>
            <w:tcW w:w="1908" w:type="dxa"/>
          </w:tcPr>
          <w:p w14:paraId="195FD2A7" w14:textId="2D7D54B2" w:rsidR="003906D7" w:rsidRPr="00F13BDE" w:rsidRDefault="00F036A2" w:rsidP="00B050DF">
            <w:pPr>
              <w:spacing w:line="276" w:lineRule="auto"/>
              <w:jc w:val="both"/>
              <w:rPr>
                <w:rFonts w:ascii="Times New Roman" w:hAnsi="Times New Roman" w:cs="Times New Roman"/>
                <w:sz w:val="24"/>
                <w:szCs w:val="24"/>
              </w:rPr>
            </w:pPr>
            <w:r>
              <w:rPr>
                <w:rFonts w:ascii="Times New Roman" w:hAnsi="Times New Roman" w:cs="Times New Roman"/>
                <w:sz w:val="24"/>
                <w:szCs w:val="24"/>
              </w:rPr>
              <w:t>Приема се.</w:t>
            </w:r>
          </w:p>
        </w:tc>
        <w:tc>
          <w:tcPr>
            <w:tcW w:w="4046" w:type="dxa"/>
          </w:tcPr>
          <w:p w14:paraId="580C42DA" w14:textId="0822337D" w:rsidR="003906D7" w:rsidRPr="00F13BDE" w:rsidRDefault="00F036A2" w:rsidP="001D779D">
            <w:pPr>
              <w:spacing w:line="276" w:lineRule="auto"/>
              <w:jc w:val="both"/>
              <w:rPr>
                <w:rFonts w:ascii="Times New Roman" w:hAnsi="Times New Roman" w:cs="Times New Roman"/>
                <w:sz w:val="24"/>
                <w:szCs w:val="24"/>
              </w:rPr>
            </w:pPr>
            <w:r>
              <w:rPr>
                <w:rFonts w:ascii="Times New Roman" w:hAnsi="Times New Roman" w:cs="Times New Roman"/>
                <w:sz w:val="24"/>
                <w:szCs w:val="24"/>
              </w:rPr>
              <w:t>Ще бъде отразено в текста.</w:t>
            </w:r>
          </w:p>
        </w:tc>
      </w:tr>
      <w:tr w:rsidR="00847EEE" w:rsidRPr="00F13BDE" w14:paraId="1CF5D1D7" w14:textId="77777777" w:rsidTr="003906D7">
        <w:trPr>
          <w:trHeight w:val="491"/>
        </w:trPr>
        <w:tc>
          <w:tcPr>
            <w:tcW w:w="421" w:type="dxa"/>
            <w:vMerge w:val="restart"/>
          </w:tcPr>
          <w:p w14:paraId="1B4DAA1B" w14:textId="340D0491" w:rsidR="00847EEE" w:rsidRDefault="00847EEE" w:rsidP="00A63D95">
            <w:pPr>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1984" w:type="dxa"/>
            <w:vMerge w:val="restart"/>
          </w:tcPr>
          <w:p w14:paraId="0D839824" w14:textId="61EC78C5" w:rsidR="00847EEE" w:rsidRDefault="00847EEE" w:rsidP="00A63D95">
            <w:pPr>
              <w:spacing w:line="276" w:lineRule="auto"/>
              <w:rPr>
                <w:rFonts w:ascii="Times New Roman" w:hAnsi="Times New Roman" w:cs="Times New Roman"/>
                <w:sz w:val="24"/>
                <w:szCs w:val="24"/>
              </w:rPr>
            </w:pPr>
            <w:r>
              <w:rPr>
                <w:rFonts w:ascii="Times New Roman" w:hAnsi="Times New Roman" w:cs="Times New Roman"/>
                <w:sz w:val="24"/>
                <w:szCs w:val="24"/>
              </w:rPr>
              <w:t>Министерство на туризма</w:t>
            </w:r>
          </w:p>
        </w:tc>
        <w:tc>
          <w:tcPr>
            <w:tcW w:w="6030" w:type="dxa"/>
          </w:tcPr>
          <w:p w14:paraId="25069145" w14:textId="213B9487" w:rsidR="00847EEE" w:rsidRPr="00E83D87" w:rsidRDefault="00847EEE" w:rsidP="00847EEE">
            <w:pPr>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w:t>
            </w:r>
            <w:r w:rsidRPr="00E83D87">
              <w:rPr>
                <w:rFonts w:ascii="Times New Roman" w:eastAsia="Times New Roman" w:hAnsi="Times New Roman" w:cs="Times New Roman"/>
                <w:sz w:val="24"/>
                <w:szCs w:val="24"/>
                <w:lang w:eastAsia="bg-BG"/>
              </w:rPr>
              <w:t xml:space="preserve">В текста на документа </w:t>
            </w:r>
            <w:r w:rsidRPr="00E83D87">
              <w:rPr>
                <w:rFonts w:ascii="Times New Roman" w:eastAsia="Times New Roman" w:hAnsi="Times New Roman" w:cs="Times New Roman"/>
                <w:sz w:val="24"/>
                <w:szCs w:val="24"/>
                <w:lang w:val="en-US" w:eastAsia="bg-BG"/>
              </w:rPr>
              <w:t xml:space="preserve">e </w:t>
            </w:r>
            <w:r w:rsidRPr="00E83D87">
              <w:rPr>
                <w:rFonts w:ascii="Times New Roman" w:eastAsia="Times New Roman" w:hAnsi="Times New Roman" w:cs="Times New Roman"/>
                <w:sz w:val="24"/>
                <w:szCs w:val="24"/>
                <w:lang w:eastAsia="bg-BG"/>
              </w:rPr>
              <w:t xml:space="preserve">посочено е, че „новото предизвикателство COVID-19 ще наложи своят отпечатък по линия на бюджета на ЕС, националния бюджет и общинските бюджети поне в рамките на първите две години от новия програмен период“. Въпреки това използваните данни за извършване на целия анализ обхващат периода 2010 – 2017/2019 г., поради което не отразяват актуалната икономическа ситуация. Не са отчетени социално-икономическите последствия от настъпилата криза от пандемията, започналата през 2022 г. война в Украйна и последствията от нея в европейски и световен мащаб, </w:t>
            </w:r>
            <w:r w:rsidRPr="00E83D87">
              <w:rPr>
                <w:rFonts w:ascii="Times New Roman" w:eastAsia="Times New Roman" w:hAnsi="Times New Roman" w:cs="Times New Roman"/>
                <w:sz w:val="24"/>
                <w:szCs w:val="24"/>
                <w:lang w:eastAsia="bg-BG"/>
              </w:rPr>
              <w:lastRenderedPageBreak/>
              <w:t>повишаването на цените на горивата и др. Респективно, не е отчетено влиянието върху туризма, който е сериозно засегнат от последствията от посочените форсмажорни обстоятелства.</w:t>
            </w:r>
          </w:p>
          <w:p w14:paraId="07FFD61E" w14:textId="77777777" w:rsidR="00847EEE" w:rsidRPr="00E83D87" w:rsidRDefault="00847EEE" w:rsidP="00E83D87">
            <w:pPr>
              <w:jc w:val="both"/>
              <w:rPr>
                <w:rFonts w:ascii="Times New Roman" w:eastAsia="Times New Roman" w:hAnsi="Times New Roman" w:cs="Times New Roman"/>
                <w:sz w:val="24"/>
                <w:szCs w:val="24"/>
                <w:lang w:eastAsia="bg-BG"/>
              </w:rPr>
            </w:pPr>
            <w:r w:rsidRPr="00E83D87">
              <w:rPr>
                <w:rFonts w:ascii="Times New Roman" w:eastAsia="Times New Roman" w:hAnsi="Times New Roman" w:cs="Times New Roman"/>
                <w:sz w:val="24"/>
                <w:szCs w:val="24"/>
                <w:lang w:eastAsia="bg-BG"/>
              </w:rPr>
              <w:t>Предвид горепосоченото, при актуализация на документа следва да се вземат под внимание настъпилите форсмажорни обстоятелства,  да се отчете влиянието им върху туристическия сектор като бъде извършен задълбочен анализ и се предвидят актуални мерки и проекти за преодоляване на негативните тенденции.</w:t>
            </w:r>
          </w:p>
          <w:p w14:paraId="0C7057C0" w14:textId="148C4D95" w:rsidR="00847EEE" w:rsidRPr="00F036A2" w:rsidRDefault="00847EEE" w:rsidP="00F036A2">
            <w:pPr>
              <w:jc w:val="both"/>
              <w:rPr>
                <w:rFonts w:ascii="Times New Roman" w:eastAsia="Times New Roman" w:hAnsi="Times New Roman" w:cs="Times New Roman"/>
                <w:sz w:val="24"/>
                <w:szCs w:val="24"/>
                <w:lang w:eastAsia="bg-BG"/>
              </w:rPr>
            </w:pPr>
          </w:p>
        </w:tc>
        <w:tc>
          <w:tcPr>
            <w:tcW w:w="1908" w:type="dxa"/>
          </w:tcPr>
          <w:p w14:paraId="4CE31CD8" w14:textId="3AAC80C5" w:rsidR="00847EEE" w:rsidRDefault="00847EEE" w:rsidP="00B050DF">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Приема се.</w:t>
            </w:r>
          </w:p>
        </w:tc>
        <w:tc>
          <w:tcPr>
            <w:tcW w:w="4046" w:type="dxa"/>
          </w:tcPr>
          <w:p w14:paraId="3FD657DF" w14:textId="456328CD" w:rsidR="00847EEE" w:rsidRDefault="00847EEE" w:rsidP="001D779D">
            <w:pPr>
              <w:spacing w:line="276" w:lineRule="auto"/>
              <w:jc w:val="both"/>
              <w:rPr>
                <w:rFonts w:ascii="Times New Roman" w:hAnsi="Times New Roman" w:cs="Times New Roman"/>
                <w:sz w:val="24"/>
                <w:szCs w:val="24"/>
              </w:rPr>
            </w:pPr>
            <w:r w:rsidRPr="00847EEE">
              <w:rPr>
                <w:rFonts w:ascii="Times New Roman" w:hAnsi="Times New Roman" w:cs="Times New Roman"/>
                <w:sz w:val="24"/>
                <w:szCs w:val="24"/>
              </w:rPr>
              <w:t>При извършването на актуализацията на ИТСР ще бъдат направени съответните актуализации във връзка с последиците от пандемията Ковид-19 и войната в Украйна.</w:t>
            </w:r>
          </w:p>
        </w:tc>
      </w:tr>
      <w:tr w:rsidR="00847EEE" w:rsidRPr="00F13BDE" w14:paraId="5249EB7B" w14:textId="77777777" w:rsidTr="003906D7">
        <w:trPr>
          <w:trHeight w:val="491"/>
        </w:trPr>
        <w:tc>
          <w:tcPr>
            <w:tcW w:w="421" w:type="dxa"/>
            <w:vMerge/>
          </w:tcPr>
          <w:p w14:paraId="11C7383D" w14:textId="77777777" w:rsidR="00847EEE" w:rsidRDefault="00847EEE" w:rsidP="00A63D95">
            <w:pPr>
              <w:spacing w:line="276" w:lineRule="auto"/>
              <w:rPr>
                <w:rFonts w:ascii="Times New Roman" w:hAnsi="Times New Roman" w:cs="Times New Roman"/>
                <w:sz w:val="24"/>
                <w:szCs w:val="24"/>
              </w:rPr>
            </w:pPr>
          </w:p>
        </w:tc>
        <w:tc>
          <w:tcPr>
            <w:tcW w:w="1984" w:type="dxa"/>
            <w:vMerge/>
          </w:tcPr>
          <w:p w14:paraId="22C53987" w14:textId="77777777" w:rsidR="00847EEE" w:rsidRDefault="00847EEE" w:rsidP="00A63D95">
            <w:pPr>
              <w:spacing w:line="276" w:lineRule="auto"/>
              <w:rPr>
                <w:rFonts w:ascii="Times New Roman" w:hAnsi="Times New Roman" w:cs="Times New Roman"/>
                <w:sz w:val="24"/>
                <w:szCs w:val="24"/>
              </w:rPr>
            </w:pPr>
          </w:p>
        </w:tc>
        <w:tc>
          <w:tcPr>
            <w:tcW w:w="6030" w:type="dxa"/>
          </w:tcPr>
          <w:p w14:paraId="00B81D12" w14:textId="789B46C4" w:rsidR="00847EEE" w:rsidRPr="00847EEE" w:rsidRDefault="00847EEE" w:rsidP="00847EEE">
            <w:pPr>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Pr="00847EEE">
              <w:rPr>
                <w:rFonts w:ascii="Times New Roman" w:eastAsia="Times New Roman" w:hAnsi="Times New Roman"/>
                <w:sz w:val="24"/>
                <w:szCs w:val="24"/>
                <w:lang w:eastAsia="bg-BG"/>
              </w:rPr>
              <w:t xml:space="preserve">Изведените в Приложението към документа мерки/дейности се преповтарят за множество силни и слаби страни, идентифицирани в </w:t>
            </w:r>
            <w:r w:rsidRPr="00847EEE">
              <w:rPr>
                <w:rFonts w:ascii="Times New Roman" w:eastAsia="Times New Roman" w:hAnsi="Times New Roman"/>
                <w:sz w:val="24"/>
                <w:szCs w:val="24"/>
                <w:lang w:val="en-US" w:eastAsia="bg-BG"/>
              </w:rPr>
              <w:t>SWOT</w:t>
            </w:r>
            <w:r w:rsidRPr="00847EEE">
              <w:rPr>
                <w:rFonts w:ascii="Times New Roman" w:eastAsia="Times New Roman" w:hAnsi="Times New Roman"/>
                <w:sz w:val="24"/>
                <w:szCs w:val="24"/>
                <w:lang w:eastAsia="bg-BG"/>
              </w:rPr>
              <w:t xml:space="preserve"> анализа. Считаме, че част от мерките/дейностите не са коректно ситуирани към дадени силни/слаби страни и следва да бъдат прецизирани, като останат релевантните такива без да се дублират.. Например, не считаме че мярката „Обозначаване на туристически обекти“ спомага за преодоляването на слаби страни „Достъпът до високоскоростен интернет е най-нисък за цялата страна с явно изразени териториални дисбаланси.“ както и за „Ограничено развита канализационна система и пречистване на отпадъчните води в област Кърджали.“. Считаме, че правилното формулиране на приоритетни мерки и дейности е от съществено значение за постигане на целите на ИТСР и измерване на постигнатите резултати.</w:t>
            </w:r>
          </w:p>
          <w:p w14:paraId="033CC0D2" w14:textId="77777777" w:rsidR="00847EEE" w:rsidRPr="00E83D87" w:rsidRDefault="00847EEE" w:rsidP="00847EEE">
            <w:pPr>
              <w:jc w:val="both"/>
              <w:rPr>
                <w:rFonts w:ascii="Times New Roman" w:eastAsia="Times New Roman" w:hAnsi="Times New Roman" w:cs="Times New Roman"/>
                <w:sz w:val="24"/>
                <w:szCs w:val="24"/>
                <w:lang w:eastAsia="bg-BG"/>
              </w:rPr>
            </w:pPr>
          </w:p>
        </w:tc>
        <w:tc>
          <w:tcPr>
            <w:tcW w:w="1908" w:type="dxa"/>
          </w:tcPr>
          <w:p w14:paraId="4CBDE46C" w14:textId="52DBEA39" w:rsidR="00847EEE" w:rsidRDefault="00E421FF" w:rsidP="00B050DF">
            <w:pPr>
              <w:spacing w:line="276" w:lineRule="auto"/>
              <w:jc w:val="both"/>
              <w:rPr>
                <w:rFonts w:ascii="Times New Roman" w:hAnsi="Times New Roman" w:cs="Times New Roman"/>
                <w:sz w:val="24"/>
                <w:szCs w:val="24"/>
              </w:rPr>
            </w:pPr>
            <w:r>
              <w:rPr>
                <w:rFonts w:ascii="Times New Roman" w:hAnsi="Times New Roman" w:cs="Times New Roman"/>
                <w:sz w:val="24"/>
                <w:szCs w:val="24"/>
              </w:rPr>
              <w:t>Приема се</w:t>
            </w:r>
          </w:p>
        </w:tc>
        <w:tc>
          <w:tcPr>
            <w:tcW w:w="4046" w:type="dxa"/>
          </w:tcPr>
          <w:p w14:paraId="2BF0DC8E" w14:textId="4E3B9E5F" w:rsidR="00847EEE" w:rsidRPr="00847EEE" w:rsidRDefault="007852F9" w:rsidP="001D779D">
            <w:pPr>
              <w:spacing w:line="276" w:lineRule="auto"/>
              <w:jc w:val="both"/>
              <w:rPr>
                <w:rFonts w:ascii="Times New Roman" w:hAnsi="Times New Roman" w:cs="Times New Roman"/>
                <w:sz w:val="24"/>
                <w:szCs w:val="24"/>
              </w:rPr>
            </w:pPr>
            <w:r>
              <w:rPr>
                <w:rFonts w:ascii="Times New Roman" w:hAnsi="Times New Roman" w:cs="Times New Roman"/>
                <w:sz w:val="24"/>
                <w:szCs w:val="24"/>
              </w:rPr>
              <w:t>Ще бъде отразено в текста.</w:t>
            </w:r>
          </w:p>
        </w:tc>
      </w:tr>
      <w:tr w:rsidR="00847EEE" w:rsidRPr="00F13BDE" w14:paraId="6C0EE696" w14:textId="77777777" w:rsidTr="003906D7">
        <w:trPr>
          <w:trHeight w:val="491"/>
        </w:trPr>
        <w:tc>
          <w:tcPr>
            <w:tcW w:w="421" w:type="dxa"/>
            <w:vMerge/>
          </w:tcPr>
          <w:p w14:paraId="0A68F371" w14:textId="77777777" w:rsidR="00847EEE" w:rsidRDefault="00847EEE" w:rsidP="00A63D95">
            <w:pPr>
              <w:spacing w:line="276" w:lineRule="auto"/>
              <w:rPr>
                <w:rFonts w:ascii="Times New Roman" w:hAnsi="Times New Roman" w:cs="Times New Roman"/>
                <w:sz w:val="24"/>
                <w:szCs w:val="24"/>
              </w:rPr>
            </w:pPr>
          </w:p>
        </w:tc>
        <w:tc>
          <w:tcPr>
            <w:tcW w:w="1984" w:type="dxa"/>
            <w:vMerge/>
          </w:tcPr>
          <w:p w14:paraId="774FF74F" w14:textId="77777777" w:rsidR="00847EEE" w:rsidRDefault="00847EEE" w:rsidP="00A63D95">
            <w:pPr>
              <w:spacing w:line="276" w:lineRule="auto"/>
              <w:rPr>
                <w:rFonts w:ascii="Times New Roman" w:hAnsi="Times New Roman" w:cs="Times New Roman"/>
                <w:sz w:val="24"/>
                <w:szCs w:val="24"/>
              </w:rPr>
            </w:pPr>
          </w:p>
        </w:tc>
        <w:tc>
          <w:tcPr>
            <w:tcW w:w="6030" w:type="dxa"/>
          </w:tcPr>
          <w:p w14:paraId="7C006144" w14:textId="44A752A0" w:rsidR="00847EEE" w:rsidRPr="00847EEE" w:rsidRDefault="00847EEE" w:rsidP="00847EEE">
            <w:pPr>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Pr="00847EEE">
              <w:rPr>
                <w:rFonts w:ascii="Times New Roman" w:eastAsia="Times New Roman" w:hAnsi="Times New Roman"/>
                <w:sz w:val="24"/>
                <w:szCs w:val="24"/>
                <w:lang w:eastAsia="bg-BG"/>
              </w:rPr>
              <w:t xml:space="preserve">В текста на ИТСР е отчетена важната роля на туризма в стопанската структура на Южен централен регион като </w:t>
            </w:r>
            <w:r w:rsidRPr="00847EEE">
              <w:rPr>
                <w:rFonts w:ascii="Times New Roman" w:eastAsia="Times New Roman" w:hAnsi="Times New Roman"/>
                <w:sz w:val="24"/>
                <w:szCs w:val="24"/>
                <w:lang w:eastAsia="bg-BG"/>
              </w:rPr>
              <w:lastRenderedPageBreak/>
              <w:t>е посочено следното:  „Регионът разполага с 19,5 % от местата за настаняване, 9 % от леглата и формира 8 % от приходите от нощувки национален план“. Не е посочено към коя година са тези данни. С оглед актуалност на данните предлагаме следната корекция: „През 2021 г. регионът разполага с 22 % от местата за настаняване, 11 % от леглата и формира 10.9 % от приходите от нощувки национален план“.</w:t>
            </w:r>
          </w:p>
          <w:p w14:paraId="51CF99EB" w14:textId="601EB057" w:rsidR="00847EEE" w:rsidRPr="00E83D87" w:rsidRDefault="00847EEE" w:rsidP="00847EEE">
            <w:pPr>
              <w:jc w:val="both"/>
              <w:rPr>
                <w:rFonts w:ascii="Times New Roman" w:eastAsia="Times New Roman" w:hAnsi="Times New Roman" w:cs="Times New Roman"/>
                <w:sz w:val="24"/>
                <w:szCs w:val="24"/>
                <w:lang w:eastAsia="bg-BG"/>
              </w:rPr>
            </w:pPr>
          </w:p>
        </w:tc>
        <w:tc>
          <w:tcPr>
            <w:tcW w:w="1908" w:type="dxa"/>
          </w:tcPr>
          <w:p w14:paraId="2450AEE7" w14:textId="2967FDED" w:rsidR="00847EEE" w:rsidRDefault="00E421FF" w:rsidP="00B050DF">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Приема се</w:t>
            </w:r>
          </w:p>
        </w:tc>
        <w:tc>
          <w:tcPr>
            <w:tcW w:w="4046" w:type="dxa"/>
          </w:tcPr>
          <w:p w14:paraId="4652A84A" w14:textId="59C63D49" w:rsidR="00847EEE" w:rsidRPr="00847EEE" w:rsidRDefault="007852F9" w:rsidP="001D779D">
            <w:pPr>
              <w:spacing w:line="276" w:lineRule="auto"/>
              <w:jc w:val="both"/>
              <w:rPr>
                <w:rFonts w:ascii="Times New Roman" w:hAnsi="Times New Roman" w:cs="Times New Roman"/>
                <w:sz w:val="24"/>
                <w:szCs w:val="24"/>
              </w:rPr>
            </w:pPr>
            <w:r>
              <w:rPr>
                <w:rFonts w:ascii="Times New Roman" w:hAnsi="Times New Roman" w:cs="Times New Roman"/>
                <w:sz w:val="24"/>
                <w:szCs w:val="24"/>
              </w:rPr>
              <w:t>Ще бъде отразено в текста.</w:t>
            </w:r>
          </w:p>
        </w:tc>
      </w:tr>
      <w:tr w:rsidR="00847EEE" w:rsidRPr="00F13BDE" w14:paraId="2C352710" w14:textId="77777777" w:rsidTr="003906D7">
        <w:trPr>
          <w:trHeight w:val="491"/>
        </w:trPr>
        <w:tc>
          <w:tcPr>
            <w:tcW w:w="421" w:type="dxa"/>
            <w:vMerge/>
          </w:tcPr>
          <w:p w14:paraId="51BCEEFF" w14:textId="77777777" w:rsidR="00847EEE" w:rsidRDefault="00847EEE" w:rsidP="00A63D95">
            <w:pPr>
              <w:spacing w:line="276" w:lineRule="auto"/>
              <w:rPr>
                <w:rFonts w:ascii="Times New Roman" w:hAnsi="Times New Roman" w:cs="Times New Roman"/>
                <w:sz w:val="24"/>
                <w:szCs w:val="24"/>
              </w:rPr>
            </w:pPr>
          </w:p>
        </w:tc>
        <w:tc>
          <w:tcPr>
            <w:tcW w:w="1984" w:type="dxa"/>
            <w:vMerge/>
          </w:tcPr>
          <w:p w14:paraId="5829977C" w14:textId="77777777" w:rsidR="00847EEE" w:rsidRDefault="00847EEE" w:rsidP="00A63D95">
            <w:pPr>
              <w:spacing w:line="276" w:lineRule="auto"/>
              <w:rPr>
                <w:rFonts w:ascii="Times New Roman" w:hAnsi="Times New Roman" w:cs="Times New Roman"/>
                <w:sz w:val="24"/>
                <w:szCs w:val="24"/>
              </w:rPr>
            </w:pPr>
          </w:p>
        </w:tc>
        <w:tc>
          <w:tcPr>
            <w:tcW w:w="6030" w:type="dxa"/>
          </w:tcPr>
          <w:p w14:paraId="2625C54C" w14:textId="77777777" w:rsidR="00847EEE" w:rsidRPr="00847EEE" w:rsidRDefault="00847EEE" w:rsidP="00847EEE">
            <w:pPr>
              <w:jc w:val="both"/>
              <w:rPr>
                <w:rFonts w:ascii="Times New Roman" w:eastAsia="Times New Roman" w:hAnsi="Times New Roman" w:cs="Times New Roman"/>
                <w:sz w:val="24"/>
                <w:szCs w:val="24"/>
                <w:lang w:eastAsia="bg-BG"/>
              </w:rPr>
            </w:pPr>
          </w:p>
          <w:p w14:paraId="120EC037" w14:textId="63ED4CBE" w:rsidR="00847EEE" w:rsidRPr="00847EEE" w:rsidRDefault="00847EEE" w:rsidP="00847EEE">
            <w:pPr>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4. </w:t>
            </w:r>
            <w:r w:rsidRPr="00847EEE">
              <w:rPr>
                <w:rFonts w:ascii="Times New Roman" w:eastAsia="Times New Roman" w:hAnsi="Times New Roman"/>
                <w:sz w:val="24"/>
                <w:szCs w:val="24"/>
                <w:lang w:eastAsia="bg-BG"/>
              </w:rPr>
              <w:t>В текста на документа са използвани понятията „</w:t>
            </w:r>
            <w:proofErr w:type="spellStart"/>
            <w:r w:rsidRPr="00847EEE">
              <w:rPr>
                <w:rFonts w:ascii="Times New Roman" w:eastAsia="Times New Roman" w:hAnsi="Times New Roman"/>
                <w:sz w:val="24"/>
                <w:szCs w:val="24"/>
                <w:lang w:eastAsia="bg-BG"/>
              </w:rPr>
              <w:t>посетителски</w:t>
            </w:r>
            <w:proofErr w:type="spellEnd"/>
            <w:r w:rsidRPr="00847EEE">
              <w:rPr>
                <w:rFonts w:ascii="Times New Roman" w:eastAsia="Times New Roman" w:hAnsi="Times New Roman"/>
                <w:sz w:val="24"/>
                <w:szCs w:val="24"/>
                <w:lang w:eastAsia="bg-BG"/>
              </w:rPr>
              <w:t xml:space="preserve"> туризъм“ и „почивен туризъм“ които не кореспондират с вече утвърдените в туристическата терминология. Предлагаме използваната терминология, касаеща туризма, да бъде съобразена с утвърдените термини за видовете туризъм, използвани в Националната стратегия за устойчиво развитие на туризма в Република България за периода 2014 – 2030 г.</w:t>
            </w:r>
          </w:p>
          <w:p w14:paraId="4EA54AA2" w14:textId="77777777" w:rsidR="00847EEE" w:rsidRPr="00E83D87" w:rsidRDefault="00847EEE" w:rsidP="00847EEE">
            <w:pPr>
              <w:jc w:val="both"/>
              <w:rPr>
                <w:rFonts w:ascii="Times New Roman" w:eastAsia="Times New Roman" w:hAnsi="Times New Roman" w:cs="Times New Roman"/>
                <w:sz w:val="24"/>
                <w:szCs w:val="24"/>
                <w:lang w:eastAsia="bg-BG"/>
              </w:rPr>
            </w:pPr>
          </w:p>
        </w:tc>
        <w:tc>
          <w:tcPr>
            <w:tcW w:w="1908" w:type="dxa"/>
          </w:tcPr>
          <w:p w14:paraId="362D19D8" w14:textId="50833912" w:rsidR="00847EEE" w:rsidRDefault="00E421FF" w:rsidP="00B050DF">
            <w:pPr>
              <w:spacing w:line="276" w:lineRule="auto"/>
              <w:jc w:val="both"/>
              <w:rPr>
                <w:rFonts w:ascii="Times New Roman" w:hAnsi="Times New Roman" w:cs="Times New Roman"/>
                <w:sz w:val="24"/>
                <w:szCs w:val="24"/>
              </w:rPr>
            </w:pPr>
            <w:r>
              <w:rPr>
                <w:rFonts w:ascii="Times New Roman" w:hAnsi="Times New Roman" w:cs="Times New Roman"/>
                <w:sz w:val="24"/>
                <w:szCs w:val="24"/>
              </w:rPr>
              <w:t>Приема се</w:t>
            </w:r>
          </w:p>
        </w:tc>
        <w:tc>
          <w:tcPr>
            <w:tcW w:w="4046" w:type="dxa"/>
          </w:tcPr>
          <w:p w14:paraId="7B454A02" w14:textId="35A18F26" w:rsidR="00847EEE" w:rsidRPr="00847EEE" w:rsidRDefault="007852F9" w:rsidP="001D779D">
            <w:pPr>
              <w:spacing w:line="276" w:lineRule="auto"/>
              <w:jc w:val="both"/>
              <w:rPr>
                <w:rFonts w:ascii="Times New Roman" w:hAnsi="Times New Roman" w:cs="Times New Roman"/>
                <w:sz w:val="24"/>
                <w:szCs w:val="24"/>
              </w:rPr>
            </w:pPr>
            <w:r>
              <w:rPr>
                <w:rFonts w:ascii="Times New Roman" w:hAnsi="Times New Roman" w:cs="Times New Roman"/>
                <w:sz w:val="24"/>
                <w:szCs w:val="24"/>
              </w:rPr>
              <w:t>Ще бъде отразено в текста.</w:t>
            </w:r>
          </w:p>
        </w:tc>
      </w:tr>
    </w:tbl>
    <w:p w14:paraId="0007CA30" w14:textId="77777777" w:rsidR="00F13BDE" w:rsidRPr="00F13BDE" w:rsidRDefault="00F13BDE">
      <w:pPr>
        <w:rPr>
          <w:rFonts w:ascii="Times New Roman" w:hAnsi="Times New Roman" w:cs="Times New Roman"/>
          <w:sz w:val="24"/>
          <w:szCs w:val="24"/>
        </w:rPr>
      </w:pPr>
    </w:p>
    <w:sectPr w:rsidR="00F13BDE" w:rsidRPr="00F13BDE" w:rsidSect="00B53C16">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78A43" w14:textId="77777777" w:rsidR="00E7290F" w:rsidRDefault="00E7290F" w:rsidP="007F2DFF">
      <w:pPr>
        <w:spacing w:after="0" w:line="240" w:lineRule="auto"/>
      </w:pPr>
      <w:r>
        <w:separator/>
      </w:r>
    </w:p>
  </w:endnote>
  <w:endnote w:type="continuationSeparator" w:id="0">
    <w:p w14:paraId="5D242ACB" w14:textId="77777777" w:rsidR="00E7290F" w:rsidRDefault="00E7290F" w:rsidP="007F2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006202"/>
      <w:docPartObj>
        <w:docPartGallery w:val="Page Numbers (Bottom of Page)"/>
        <w:docPartUnique/>
      </w:docPartObj>
    </w:sdtPr>
    <w:sdtEndPr>
      <w:rPr>
        <w:noProof/>
      </w:rPr>
    </w:sdtEndPr>
    <w:sdtContent>
      <w:p w14:paraId="2B26F4BC" w14:textId="29797157" w:rsidR="007F2DFF" w:rsidRDefault="007F2DFF">
        <w:pPr>
          <w:pStyle w:val="af1"/>
          <w:jc w:val="right"/>
        </w:pPr>
        <w:r>
          <w:fldChar w:fldCharType="begin"/>
        </w:r>
        <w:r>
          <w:instrText xml:space="preserve"> PAGE   \* MERGEFORMAT </w:instrText>
        </w:r>
        <w:r>
          <w:fldChar w:fldCharType="separate"/>
        </w:r>
        <w:r w:rsidR="0047572B">
          <w:rPr>
            <w:noProof/>
          </w:rPr>
          <w:t>1</w:t>
        </w:r>
        <w:r>
          <w:rPr>
            <w:noProof/>
          </w:rPr>
          <w:fldChar w:fldCharType="end"/>
        </w:r>
      </w:p>
    </w:sdtContent>
  </w:sdt>
  <w:p w14:paraId="7AEB56D4" w14:textId="77777777" w:rsidR="007F2DFF" w:rsidRDefault="007F2DF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E3CCD" w14:textId="77777777" w:rsidR="00E7290F" w:rsidRDefault="00E7290F" w:rsidP="007F2DFF">
      <w:pPr>
        <w:spacing w:after="0" w:line="240" w:lineRule="auto"/>
      </w:pPr>
      <w:r>
        <w:separator/>
      </w:r>
    </w:p>
  </w:footnote>
  <w:footnote w:type="continuationSeparator" w:id="0">
    <w:p w14:paraId="2DF69036" w14:textId="77777777" w:rsidR="00E7290F" w:rsidRDefault="00E7290F" w:rsidP="007F2D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A71"/>
    <w:multiLevelType w:val="hybridMultilevel"/>
    <w:tmpl w:val="4AD89510"/>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 w15:restartNumberingAfterBreak="0">
    <w:nsid w:val="03EB7210"/>
    <w:multiLevelType w:val="hybridMultilevel"/>
    <w:tmpl w:val="4832FE68"/>
    <w:lvl w:ilvl="0" w:tplc="0402000F">
      <w:start w:val="1"/>
      <w:numFmt w:val="decimal"/>
      <w:lvlText w:val="%1."/>
      <w:lvlJc w:val="left"/>
      <w:pPr>
        <w:ind w:left="360" w:hanging="360"/>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2" w15:restartNumberingAfterBreak="0">
    <w:nsid w:val="07946070"/>
    <w:multiLevelType w:val="hybridMultilevel"/>
    <w:tmpl w:val="357AF418"/>
    <w:lvl w:ilvl="0" w:tplc="0402000F">
      <w:start w:val="1"/>
      <w:numFmt w:val="decimal"/>
      <w:lvlText w:val="%1."/>
      <w:lvlJc w:val="left"/>
      <w:pPr>
        <w:ind w:left="360" w:hanging="360"/>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3" w15:restartNumberingAfterBreak="0">
    <w:nsid w:val="07D94361"/>
    <w:multiLevelType w:val="hybridMultilevel"/>
    <w:tmpl w:val="DC0AF3C0"/>
    <w:lvl w:ilvl="0" w:tplc="0402000F">
      <w:start w:val="1"/>
      <w:numFmt w:val="decimal"/>
      <w:lvlText w:val="%1."/>
      <w:lvlJc w:val="left"/>
      <w:pPr>
        <w:ind w:left="360" w:hanging="360"/>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4" w15:restartNumberingAfterBreak="0">
    <w:nsid w:val="0A56260D"/>
    <w:multiLevelType w:val="hybridMultilevel"/>
    <w:tmpl w:val="0DD02222"/>
    <w:lvl w:ilvl="0" w:tplc="1834E028">
      <w:start w:val="1"/>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06D5600"/>
    <w:multiLevelType w:val="hybridMultilevel"/>
    <w:tmpl w:val="2BDAAE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25E76"/>
    <w:multiLevelType w:val="hybridMultilevel"/>
    <w:tmpl w:val="2BDAAE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84F85"/>
    <w:multiLevelType w:val="hybridMultilevel"/>
    <w:tmpl w:val="DF787F74"/>
    <w:lvl w:ilvl="0" w:tplc="D6620FA8">
      <w:start w:val="201"/>
      <w:numFmt w:val="bullet"/>
      <w:lvlText w:val="-"/>
      <w:lvlJc w:val="left"/>
      <w:pPr>
        <w:ind w:left="720" w:hanging="360"/>
      </w:pPr>
      <w:rPr>
        <w:rFonts w:ascii="Calibri" w:eastAsia="Calibri" w:hAnsi="Calibri" w:hint="default"/>
        <w:i/>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8" w15:restartNumberingAfterBreak="0">
    <w:nsid w:val="258A5D9F"/>
    <w:multiLevelType w:val="multilevel"/>
    <w:tmpl w:val="64349020"/>
    <w:lvl w:ilvl="0">
      <w:start w:val="1"/>
      <w:numFmt w:val="decimal"/>
      <w:lvlText w:val="%1."/>
      <w:lvlJc w:val="left"/>
      <w:pPr>
        <w:ind w:left="360" w:hanging="360"/>
      </w:pPr>
      <w:rPr>
        <w:rFonts w:hint="default"/>
        <w:color w:val="auto"/>
      </w:rPr>
    </w:lvl>
    <w:lvl w:ilvl="1">
      <w:start w:val="1"/>
      <w:numFmt w:val="decimal"/>
      <w:isLgl/>
      <w:lvlText w:val="%1.%2."/>
      <w:lvlJc w:val="left"/>
      <w:pPr>
        <w:ind w:left="568"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323F593C"/>
    <w:multiLevelType w:val="hybridMultilevel"/>
    <w:tmpl w:val="2BDAAE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DE6DB0"/>
    <w:multiLevelType w:val="hybridMultilevel"/>
    <w:tmpl w:val="DB9A4BB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59E85C30"/>
    <w:multiLevelType w:val="hybridMultilevel"/>
    <w:tmpl w:val="AE9C08EA"/>
    <w:lvl w:ilvl="0" w:tplc="0402000F">
      <w:start w:val="1"/>
      <w:numFmt w:val="decimal"/>
      <w:lvlText w:val="%1."/>
      <w:lvlJc w:val="left"/>
      <w:pPr>
        <w:ind w:left="360" w:hanging="360"/>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12" w15:restartNumberingAfterBreak="0">
    <w:nsid w:val="689E3A72"/>
    <w:multiLevelType w:val="hybridMultilevel"/>
    <w:tmpl w:val="2BDAAE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B26056"/>
    <w:multiLevelType w:val="hybridMultilevel"/>
    <w:tmpl w:val="15969752"/>
    <w:lvl w:ilvl="0" w:tplc="56EE75DC">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9561920"/>
    <w:multiLevelType w:val="hybridMultilevel"/>
    <w:tmpl w:val="33583B22"/>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16cid:durableId="4376765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1652364">
    <w:abstractNumId w:val="7"/>
  </w:num>
  <w:num w:numId="3" w16cid:durableId="16334370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58812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87324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0913645">
    <w:abstractNumId w:val="8"/>
  </w:num>
  <w:num w:numId="7" w16cid:durableId="1457219152">
    <w:abstractNumId w:val="10"/>
  </w:num>
  <w:num w:numId="8" w16cid:durableId="1771201186">
    <w:abstractNumId w:val="0"/>
  </w:num>
  <w:num w:numId="9" w16cid:durableId="489640217">
    <w:abstractNumId w:val="4"/>
  </w:num>
  <w:num w:numId="10" w16cid:durableId="130678798">
    <w:abstractNumId w:val="5"/>
  </w:num>
  <w:num w:numId="11" w16cid:durableId="1539246135">
    <w:abstractNumId w:val="9"/>
  </w:num>
  <w:num w:numId="12" w16cid:durableId="1311862597">
    <w:abstractNumId w:val="6"/>
  </w:num>
  <w:num w:numId="13" w16cid:durableId="1674645132">
    <w:abstractNumId w:val="14"/>
  </w:num>
  <w:num w:numId="14" w16cid:durableId="1020621172">
    <w:abstractNumId w:val="12"/>
  </w:num>
  <w:num w:numId="15" w16cid:durableId="4313179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577"/>
    <w:rsid w:val="000032E6"/>
    <w:rsid w:val="00025811"/>
    <w:rsid w:val="0003543C"/>
    <w:rsid w:val="0004676C"/>
    <w:rsid w:val="00051D4E"/>
    <w:rsid w:val="00055756"/>
    <w:rsid w:val="000C242B"/>
    <w:rsid w:val="000C3688"/>
    <w:rsid w:val="000D00DE"/>
    <w:rsid w:val="000D6F12"/>
    <w:rsid w:val="000D79D3"/>
    <w:rsid w:val="000E58A9"/>
    <w:rsid w:val="00112DC5"/>
    <w:rsid w:val="00127DE5"/>
    <w:rsid w:val="00133366"/>
    <w:rsid w:val="0013376F"/>
    <w:rsid w:val="00137D95"/>
    <w:rsid w:val="0015647A"/>
    <w:rsid w:val="00161513"/>
    <w:rsid w:val="001616DA"/>
    <w:rsid w:val="0016712D"/>
    <w:rsid w:val="00171833"/>
    <w:rsid w:val="00176A9A"/>
    <w:rsid w:val="001779B1"/>
    <w:rsid w:val="00184A16"/>
    <w:rsid w:val="00186671"/>
    <w:rsid w:val="0019487C"/>
    <w:rsid w:val="001A4D4B"/>
    <w:rsid w:val="001D2EC7"/>
    <w:rsid w:val="001D779D"/>
    <w:rsid w:val="001E4D7B"/>
    <w:rsid w:val="001F2C2C"/>
    <w:rsid w:val="00201CA3"/>
    <w:rsid w:val="00206DBB"/>
    <w:rsid w:val="002129AA"/>
    <w:rsid w:val="00215815"/>
    <w:rsid w:val="00227A03"/>
    <w:rsid w:val="0024142E"/>
    <w:rsid w:val="00252BA2"/>
    <w:rsid w:val="00261B2A"/>
    <w:rsid w:val="002654FC"/>
    <w:rsid w:val="00277E5F"/>
    <w:rsid w:val="002826C5"/>
    <w:rsid w:val="002831B8"/>
    <w:rsid w:val="00286F86"/>
    <w:rsid w:val="002C0395"/>
    <w:rsid w:val="002C11B6"/>
    <w:rsid w:val="002C419E"/>
    <w:rsid w:val="002E6803"/>
    <w:rsid w:val="002E75BF"/>
    <w:rsid w:val="002F2B3C"/>
    <w:rsid w:val="002F705D"/>
    <w:rsid w:val="00311A0A"/>
    <w:rsid w:val="00352249"/>
    <w:rsid w:val="003556D0"/>
    <w:rsid w:val="00362584"/>
    <w:rsid w:val="00364239"/>
    <w:rsid w:val="003651E8"/>
    <w:rsid w:val="003825F4"/>
    <w:rsid w:val="003906D7"/>
    <w:rsid w:val="00395D4F"/>
    <w:rsid w:val="003A356C"/>
    <w:rsid w:val="003B772C"/>
    <w:rsid w:val="003C5FE6"/>
    <w:rsid w:val="003E476E"/>
    <w:rsid w:val="003F4495"/>
    <w:rsid w:val="00411451"/>
    <w:rsid w:val="00422764"/>
    <w:rsid w:val="00434DA3"/>
    <w:rsid w:val="00441546"/>
    <w:rsid w:val="00466C7C"/>
    <w:rsid w:val="00473EC5"/>
    <w:rsid w:val="0047572B"/>
    <w:rsid w:val="004A2379"/>
    <w:rsid w:val="004B54ED"/>
    <w:rsid w:val="004C1AE5"/>
    <w:rsid w:val="004D0FDC"/>
    <w:rsid w:val="004E560C"/>
    <w:rsid w:val="004F79C4"/>
    <w:rsid w:val="00513D34"/>
    <w:rsid w:val="005314A5"/>
    <w:rsid w:val="00534CD6"/>
    <w:rsid w:val="00567BBF"/>
    <w:rsid w:val="0057068E"/>
    <w:rsid w:val="00572A34"/>
    <w:rsid w:val="005804D6"/>
    <w:rsid w:val="00583DAE"/>
    <w:rsid w:val="0058526D"/>
    <w:rsid w:val="0059079D"/>
    <w:rsid w:val="005A1664"/>
    <w:rsid w:val="005A7A36"/>
    <w:rsid w:val="005B02FD"/>
    <w:rsid w:val="005B14A9"/>
    <w:rsid w:val="005B1B08"/>
    <w:rsid w:val="005C15E5"/>
    <w:rsid w:val="005C5AD4"/>
    <w:rsid w:val="005D1B61"/>
    <w:rsid w:val="005D5DED"/>
    <w:rsid w:val="005E520A"/>
    <w:rsid w:val="005F2EAF"/>
    <w:rsid w:val="006030D8"/>
    <w:rsid w:val="00605617"/>
    <w:rsid w:val="00611F3E"/>
    <w:rsid w:val="0063268A"/>
    <w:rsid w:val="00634234"/>
    <w:rsid w:val="00641B6E"/>
    <w:rsid w:val="00644DAC"/>
    <w:rsid w:val="0066044E"/>
    <w:rsid w:val="00662476"/>
    <w:rsid w:val="0068333B"/>
    <w:rsid w:val="00690B1F"/>
    <w:rsid w:val="00697AA0"/>
    <w:rsid w:val="006A2628"/>
    <w:rsid w:val="006A4C22"/>
    <w:rsid w:val="006C192F"/>
    <w:rsid w:val="006D4F00"/>
    <w:rsid w:val="006E2F5C"/>
    <w:rsid w:val="006F1BE1"/>
    <w:rsid w:val="00703A1E"/>
    <w:rsid w:val="007049D6"/>
    <w:rsid w:val="0075614F"/>
    <w:rsid w:val="007566C7"/>
    <w:rsid w:val="007852F9"/>
    <w:rsid w:val="007F2DFF"/>
    <w:rsid w:val="007F7D32"/>
    <w:rsid w:val="00803CCB"/>
    <w:rsid w:val="00803CEB"/>
    <w:rsid w:val="008171B0"/>
    <w:rsid w:val="00827D0B"/>
    <w:rsid w:val="00837B2C"/>
    <w:rsid w:val="00840235"/>
    <w:rsid w:val="00847EEE"/>
    <w:rsid w:val="00854F50"/>
    <w:rsid w:val="00867517"/>
    <w:rsid w:val="008723B7"/>
    <w:rsid w:val="00887C9E"/>
    <w:rsid w:val="008954CB"/>
    <w:rsid w:val="00901846"/>
    <w:rsid w:val="00933624"/>
    <w:rsid w:val="009401A6"/>
    <w:rsid w:val="00947DE9"/>
    <w:rsid w:val="00952B4F"/>
    <w:rsid w:val="009670EA"/>
    <w:rsid w:val="009C664B"/>
    <w:rsid w:val="009F64FA"/>
    <w:rsid w:val="00A43E3C"/>
    <w:rsid w:val="00A57A53"/>
    <w:rsid w:val="00A63D95"/>
    <w:rsid w:val="00A6401F"/>
    <w:rsid w:val="00A75DCD"/>
    <w:rsid w:val="00A819E0"/>
    <w:rsid w:val="00A93CC2"/>
    <w:rsid w:val="00AA7E58"/>
    <w:rsid w:val="00AB0A83"/>
    <w:rsid w:val="00AB2AD1"/>
    <w:rsid w:val="00AC17BC"/>
    <w:rsid w:val="00AC18FA"/>
    <w:rsid w:val="00AC4DD1"/>
    <w:rsid w:val="00AE5C33"/>
    <w:rsid w:val="00AF6841"/>
    <w:rsid w:val="00B00C5F"/>
    <w:rsid w:val="00B04B1A"/>
    <w:rsid w:val="00B050DF"/>
    <w:rsid w:val="00B1404F"/>
    <w:rsid w:val="00B17BA9"/>
    <w:rsid w:val="00B426CE"/>
    <w:rsid w:val="00B45577"/>
    <w:rsid w:val="00B53C16"/>
    <w:rsid w:val="00B834C3"/>
    <w:rsid w:val="00BA2DD0"/>
    <w:rsid w:val="00BA50B8"/>
    <w:rsid w:val="00BC1287"/>
    <w:rsid w:val="00BD6B3E"/>
    <w:rsid w:val="00BE0B57"/>
    <w:rsid w:val="00BF030A"/>
    <w:rsid w:val="00C040DA"/>
    <w:rsid w:val="00C04803"/>
    <w:rsid w:val="00C1421E"/>
    <w:rsid w:val="00C22A59"/>
    <w:rsid w:val="00C4285E"/>
    <w:rsid w:val="00C52F30"/>
    <w:rsid w:val="00C83BF3"/>
    <w:rsid w:val="00CB23DC"/>
    <w:rsid w:val="00CD3F60"/>
    <w:rsid w:val="00CE1A5F"/>
    <w:rsid w:val="00CE5D28"/>
    <w:rsid w:val="00D14E5F"/>
    <w:rsid w:val="00D340A7"/>
    <w:rsid w:val="00D3743F"/>
    <w:rsid w:val="00D4179D"/>
    <w:rsid w:val="00D42E56"/>
    <w:rsid w:val="00D77599"/>
    <w:rsid w:val="00DE0A10"/>
    <w:rsid w:val="00DE762A"/>
    <w:rsid w:val="00DF5F21"/>
    <w:rsid w:val="00E15E7D"/>
    <w:rsid w:val="00E24E78"/>
    <w:rsid w:val="00E25BF4"/>
    <w:rsid w:val="00E367E4"/>
    <w:rsid w:val="00E421FF"/>
    <w:rsid w:val="00E61508"/>
    <w:rsid w:val="00E654F6"/>
    <w:rsid w:val="00E7290F"/>
    <w:rsid w:val="00E8134C"/>
    <w:rsid w:val="00E83D87"/>
    <w:rsid w:val="00EC700B"/>
    <w:rsid w:val="00F036A2"/>
    <w:rsid w:val="00F12E4F"/>
    <w:rsid w:val="00F13BDE"/>
    <w:rsid w:val="00F14D60"/>
    <w:rsid w:val="00F15596"/>
    <w:rsid w:val="00F160DE"/>
    <w:rsid w:val="00F25119"/>
    <w:rsid w:val="00F25206"/>
    <w:rsid w:val="00F252B4"/>
    <w:rsid w:val="00F256C2"/>
    <w:rsid w:val="00F437EC"/>
    <w:rsid w:val="00F45E87"/>
    <w:rsid w:val="00F46D2C"/>
    <w:rsid w:val="00F61939"/>
    <w:rsid w:val="00F71FED"/>
    <w:rsid w:val="00F748C2"/>
    <w:rsid w:val="00FC3E30"/>
    <w:rsid w:val="00FE3E3A"/>
    <w:rsid w:val="00FE5417"/>
    <w:rsid w:val="00FE654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834B0"/>
  <w15:chartTrackingRefBased/>
  <w15:docId w15:val="{F9B421EA-6A10-4C64-B3A3-CB31257E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53C16"/>
    <w:pPr>
      <w:spacing w:after="0" w:line="240" w:lineRule="auto"/>
      <w:jc w:val="center"/>
    </w:pPr>
    <w:rPr>
      <w:rFonts w:ascii="Times New Roman" w:eastAsia="Times New Roman" w:hAnsi="Times New Roman" w:cs="Times New Roman"/>
      <w:b/>
      <w:sz w:val="32"/>
      <w:szCs w:val="20"/>
    </w:rPr>
  </w:style>
  <w:style w:type="character" w:customStyle="1" w:styleId="a4">
    <w:name w:val="Заглавие Знак"/>
    <w:basedOn w:val="a0"/>
    <w:link w:val="a3"/>
    <w:rsid w:val="00B53C16"/>
    <w:rPr>
      <w:rFonts w:ascii="Times New Roman" w:eastAsia="Times New Roman" w:hAnsi="Times New Roman" w:cs="Times New Roman"/>
      <w:b/>
      <w:sz w:val="32"/>
      <w:szCs w:val="20"/>
    </w:rPr>
  </w:style>
  <w:style w:type="paragraph" w:styleId="2">
    <w:name w:val="Body Text Indent 2"/>
    <w:basedOn w:val="a"/>
    <w:link w:val="20"/>
    <w:rsid w:val="00B53C16"/>
    <w:pPr>
      <w:spacing w:after="120" w:line="480" w:lineRule="auto"/>
      <w:ind w:left="283"/>
    </w:pPr>
    <w:rPr>
      <w:rFonts w:ascii="Times New Roman" w:eastAsia="Times New Roman" w:hAnsi="Times New Roman" w:cs="Times New Roman"/>
      <w:sz w:val="24"/>
      <w:szCs w:val="24"/>
      <w:lang w:val="en-GB"/>
    </w:rPr>
  </w:style>
  <w:style w:type="character" w:customStyle="1" w:styleId="20">
    <w:name w:val="Основен текст с отстъп 2 Знак"/>
    <w:basedOn w:val="a0"/>
    <w:link w:val="2"/>
    <w:rsid w:val="00B53C16"/>
    <w:rPr>
      <w:rFonts w:ascii="Times New Roman" w:eastAsia="Times New Roman" w:hAnsi="Times New Roman" w:cs="Times New Roman"/>
      <w:sz w:val="24"/>
      <w:szCs w:val="24"/>
      <w:lang w:val="en-GB"/>
    </w:rPr>
  </w:style>
  <w:style w:type="table" w:styleId="a5">
    <w:name w:val="Table Grid"/>
    <w:basedOn w:val="a1"/>
    <w:uiPriority w:val="39"/>
    <w:rsid w:val="00B53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annotation text"/>
    <w:basedOn w:val="a"/>
    <w:link w:val="a7"/>
    <w:uiPriority w:val="99"/>
    <w:unhideWhenUsed/>
    <w:qFormat/>
    <w:rsid w:val="00B53C16"/>
    <w:pPr>
      <w:spacing w:after="0" w:line="240" w:lineRule="auto"/>
    </w:pPr>
    <w:rPr>
      <w:rFonts w:ascii="Times New Roman" w:eastAsia="Times New Roman" w:hAnsi="Times New Roman" w:cs="Times New Roman"/>
      <w:sz w:val="20"/>
      <w:szCs w:val="20"/>
      <w:lang w:val="en-US"/>
    </w:rPr>
  </w:style>
  <w:style w:type="character" w:customStyle="1" w:styleId="a7">
    <w:name w:val="Текст на коментар Знак"/>
    <w:basedOn w:val="a0"/>
    <w:link w:val="a6"/>
    <w:uiPriority w:val="99"/>
    <w:qFormat/>
    <w:rsid w:val="00B53C16"/>
    <w:rPr>
      <w:rFonts w:ascii="Times New Roman" w:eastAsia="Times New Roman" w:hAnsi="Times New Roman" w:cs="Times New Roman"/>
      <w:sz w:val="20"/>
      <w:szCs w:val="20"/>
      <w:lang w:val="en-US"/>
    </w:rPr>
  </w:style>
  <w:style w:type="character" w:styleId="a8">
    <w:name w:val="annotation reference"/>
    <w:basedOn w:val="a0"/>
    <w:uiPriority w:val="99"/>
    <w:semiHidden/>
    <w:unhideWhenUsed/>
    <w:rsid w:val="0058526D"/>
    <w:rPr>
      <w:sz w:val="16"/>
      <w:szCs w:val="16"/>
    </w:rPr>
  </w:style>
  <w:style w:type="paragraph" w:styleId="a9">
    <w:name w:val="Normal (Web)"/>
    <w:basedOn w:val="a"/>
    <w:uiPriority w:val="99"/>
    <w:unhideWhenUsed/>
    <w:rsid w:val="002C419E"/>
    <w:pPr>
      <w:spacing w:before="100" w:beforeAutospacing="1" w:after="100" w:afterAutospacing="1" w:line="240" w:lineRule="auto"/>
    </w:pPr>
    <w:rPr>
      <w:rFonts w:ascii="Times New Roman" w:hAnsi="Times New Roman" w:cs="Times New Roman"/>
      <w:sz w:val="24"/>
      <w:szCs w:val="24"/>
      <w:lang w:eastAsia="bg-BG"/>
    </w:rPr>
  </w:style>
  <w:style w:type="paragraph" w:styleId="aa">
    <w:name w:val="List Paragraph"/>
    <w:basedOn w:val="a"/>
    <w:uiPriority w:val="34"/>
    <w:qFormat/>
    <w:rsid w:val="00662476"/>
    <w:pPr>
      <w:spacing w:line="252" w:lineRule="auto"/>
      <w:ind w:left="720"/>
      <w:contextualSpacing/>
    </w:pPr>
    <w:rPr>
      <w:rFonts w:ascii="Calibri" w:hAnsi="Calibri" w:cs="Times New Roman"/>
    </w:rPr>
  </w:style>
  <w:style w:type="paragraph" w:styleId="ab">
    <w:name w:val="annotation subject"/>
    <w:basedOn w:val="a6"/>
    <w:next w:val="a6"/>
    <w:link w:val="ac"/>
    <w:uiPriority w:val="99"/>
    <w:semiHidden/>
    <w:unhideWhenUsed/>
    <w:rsid w:val="00D77599"/>
    <w:pPr>
      <w:spacing w:after="160"/>
    </w:pPr>
    <w:rPr>
      <w:rFonts w:asciiTheme="minorHAnsi" w:eastAsiaTheme="minorHAnsi" w:hAnsiTheme="minorHAnsi" w:cstheme="minorBidi"/>
      <w:b/>
      <w:bCs/>
      <w:lang w:val="bg-BG"/>
    </w:rPr>
  </w:style>
  <w:style w:type="character" w:customStyle="1" w:styleId="ac">
    <w:name w:val="Предмет на коментар Знак"/>
    <w:basedOn w:val="a7"/>
    <w:link w:val="ab"/>
    <w:uiPriority w:val="99"/>
    <w:semiHidden/>
    <w:rsid w:val="00D77599"/>
    <w:rPr>
      <w:rFonts w:ascii="Times New Roman" w:eastAsia="Times New Roman" w:hAnsi="Times New Roman" w:cs="Times New Roman"/>
      <w:b/>
      <w:bCs/>
      <w:sz w:val="20"/>
      <w:szCs w:val="20"/>
      <w:lang w:val="en-US"/>
    </w:rPr>
  </w:style>
  <w:style w:type="paragraph" w:styleId="ad">
    <w:name w:val="Balloon Text"/>
    <w:basedOn w:val="a"/>
    <w:link w:val="ae"/>
    <w:uiPriority w:val="99"/>
    <w:semiHidden/>
    <w:unhideWhenUsed/>
    <w:rsid w:val="00D77599"/>
    <w:pPr>
      <w:spacing w:after="0" w:line="240" w:lineRule="auto"/>
    </w:pPr>
    <w:rPr>
      <w:rFonts w:ascii="Segoe UI" w:hAnsi="Segoe UI" w:cs="Segoe UI"/>
      <w:sz w:val="18"/>
      <w:szCs w:val="18"/>
    </w:rPr>
  </w:style>
  <w:style w:type="character" w:customStyle="1" w:styleId="ae">
    <w:name w:val="Изнесен текст Знак"/>
    <w:basedOn w:val="a0"/>
    <w:link w:val="ad"/>
    <w:uiPriority w:val="99"/>
    <w:semiHidden/>
    <w:rsid w:val="00D77599"/>
    <w:rPr>
      <w:rFonts w:ascii="Segoe UI" w:hAnsi="Segoe UI" w:cs="Segoe UI"/>
      <w:sz w:val="18"/>
      <w:szCs w:val="18"/>
    </w:rPr>
  </w:style>
  <w:style w:type="paragraph" w:styleId="af">
    <w:name w:val="header"/>
    <w:basedOn w:val="a"/>
    <w:link w:val="af0"/>
    <w:uiPriority w:val="99"/>
    <w:unhideWhenUsed/>
    <w:rsid w:val="007F2DFF"/>
    <w:pPr>
      <w:tabs>
        <w:tab w:val="center" w:pos="4536"/>
        <w:tab w:val="right" w:pos="9072"/>
      </w:tabs>
      <w:spacing w:after="0" w:line="240" w:lineRule="auto"/>
    </w:pPr>
  </w:style>
  <w:style w:type="character" w:customStyle="1" w:styleId="af0">
    <w:name w:val="Горен колонтитул Знак"/>
    <w:basedOn w:val="a0"/>
    <w:link w:val="af"/>
    <w:uiPriority w:val="99"/>
    <w:rsid w:val="007F2DFF"/>
  </w:style>
  <w:style w:type="paragraph" w:styleId="af1">
    <w:name w:val="footer"/>
    <w:basedOn w:val="a"/>
    <w:link w:val="af2"/>
    <w:uiPriority w:val="99"/>
    <w:unhideWhenUsed/>
    <w:rsid w:val="007F2DFF"/>
    <w:pPr>
      <w:tabs>
        <w:tab w:val="center" w:pos="4536"/>
        <w:tab w:val="right" w:pos="9072"/>
      </w:tabs>
      <w:spacing w:after="0" w:line="240" w:lineRule="auto"/>
    </w:pPr>
  </w:style>
  <w:style w:type="character" w:customStyle="1" w:styleId="af2">
    <w:name w:val="Долен колонтитул Знак"/>
    <w:basedOn w:val="a0"/>
    <w:link w:val="af1"/>
    <w:uiPriority w:val="99"/>
    <w:rsid w:val="007F2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728726">
      <w:bodyDiv w:val="1"/>
      <w:marLeft w:val="0"/>
      <w:marRight w:val="0"/>
      <w:marTop w:val="0"/>
      <w:marBottom w:val="0"/>
      <w:divBdr>
        <w:top w:val="none" w:sz="0" w:space="0" w:color="auto"/>
        <w:left w:val="none" w:sz="0" w:space="0" w:color="auto"/>
        <w:bottom w:val="none" w:sz="0" w:space="0" w:color="auto"/>
        <w:right w:val="none" w:sz="0" w:space="0" w:color="auto"/>
      </w:divBdr>
    </w:div>
    <w:div w:id="536820025">
      <w:bodyDiv w:val="1"/>
      <w:marLeft w:val="0"/>
      <w:marRight w:val="0"/>
      <w:marTop w:val="0"/>
      <w:marBottom w:val="0"/>
      <w:divBdr>
        <w:top w:val="none" w:sz="0" w:space="0" w:color="auto"/>
        <w:left w:val="none" w:sz="0" w:space="0" w:color="auto"/>
        <w:bottom w:val="none" w:sz="0" w:space="0" w:color="auto"/>
        <w:right w:val="none" w:sz="0" w:space="0" w:color="auto"/>
      </w:divBdr>
    </w:div>
    <w:div w:id="745422621">
      <w:bodyDiv w:val="1"/>
      <w:marLeft w:val="0"/>
      <w:marRight w:val="0"/>
      <w:marTop w:val="0"/>
      <w:marBottom w:val="0"/>
      <w:divBdr>
        <w:top w:val="none" w:sz="0" w:space="0" w:color="auto"/>
        <w:left w:val="none" w:sz="0" w:space="0" w:color="auto"/>
        <w:bottom w:val="none" w:sz="0" w:space="0" w:color="auto"/>
        <w:right w:val="none" w:sz="0" w:space="0" w:color="auto"/>
      </w:divBdr>
    </w:div>
    <w:div w:id="759762345">
      <w:bodyDiv w:val="1"/>
      <w:marLeft w:val="0"/>
      <w:marRight w:val="0"/>
      <w:marTop w:val="0"/>
      <w:marBottom w:val="0"/>
      <w:divBdr>
        <w:top w:val="none" w:sz="0" w:space="0" w:color="auto"/>
        <w:left w:val="none" w:sz="0" w:space="0" w:color="auto"/>
        <w:bottom w:val="none" w:sz="0" w:space="0" w:color="auto"/>
        <w:right w:val="none" w:sz="0" w:space="0" w:color="auto"/>
      </w:divBdr>
    </w:div>
    <w:div w:id="767971177">
      <w:bodyDiv w:val="1"/>
      <w:marLeft w:val="0"/>
      <w:marRight w:val="0"/>
      <w:marTop w:val="0"/>
      <w:marBottom w:val="0"/>
      <w:divBdr>
        <w:top w:val="none" w:sz="0" w:space="0" w:color="auto"/>
        <w:left w:val="none" w:sz="0" w:space="0" w:color="auto"/>
        <w:bottom w:val="none" w:sz="0" w:space="0" w:color="auto"/>
        <w:right w:val="none" w:sz="0" w:space="0" w:color="auto"/>
      </w:divBdr>
    </w:div>
    <w:div w:id="111320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BBC14-2CE2-4C4E-B266-0E7C6EC08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Ministry of Regional Development and Public Works</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VALENTINOVA YOTOVA</dc:creator>
  <cp:keywords/>
  <dc:description/>
  <cp:lastModifiedBy>iliyan zlatev</cp:lastModifiedBy>
  <cp:revision>2</cp:revision>
  <dcterms:created xsi:type="dcterms:W3CDTF">2022-10-04T08:55:00Z</dcterms:created>
  <dcterms:modified xsi:type="dcterms:W3CDTF">2022-10-04T08:55:00Z</dcterms:modified>
</cp:coreProperties>
</file>